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 xml:space="preserve">INFORME   </w:t>
      </w:r>
      <w:r w:rsidR="00854676">
        <w:rPr>
          <w:rFonts w:ascii="Arial" w:eastAsia="Times New Roman" w:hAnsi="Arial" w:cs="Times New Roman"/>
          <w:b/>
          <w:color w:val="000000"/>
          <w:sz w:val="28"/>
          <w:szCs w:val="24"/>
          <w:lang w:val="es-ES" w:eastAsia="es-ES"/>
        </w:rPr>
        <w:t xml:space="preserve">GRUPAL </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 xml:space="preserve"> CENTRO PARA EL DESARROLLO DE LAS MUJERES </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CDM</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MEZQUITIC, JALISCO</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INSTITUTO JALISCIENSE DE LAS MUJERES</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F3487C" w:rsidP="008857CC">
      <w:pPr>
        <w:spacing w:after="0" w:line="240" w:lineRule="auto"/>
        <w:jc w:val="right"/>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24"/>
          <w:lang w:val="es-ES" w:eastAsia="es-ES"/>
        </w:rPr>
        <w:t>ENERO</w:t>
      </w:r>
      <w:r w:rsidR="00AB7EB3">
        <w:rPr>
          <w:rFonts w:ascii="Arial" w:eastAsia="Times New Roman" w:hAnsi="Arial" w:cs="Times New Roman"/>
          <w:b/>
          <w:color w:val="000000"/>
          <w:sz w:val="28"/>
          <w:szCs w:val="24"/>
          <w:lang w:val="es-ES" w:eastAsia="es-ES"/>
        </w:rPr>
        <w:t xml:space="preserve"> </w:t>
      </w:r>
      <w:r w:rsidR="008857CC" w:rsidRPr="008857CC">
        <w:rPr>
          <w:rFonts w:ascii="Arial" w:eastAsia="Times New Roman" w:hAnsi="Arial" w:cs="Times New Roman"/>
          <w:b/>
          <w:color w:val="000000"/>
          <w:sz w:val="28"/>
          <w:szCs w:val="24"/>
          <w:lang w:val="es-ES" w:eastAsia="es-ES"/>
        </w:rPr>
        <w:t>201</w:t>
      </w:r>
      <w:r>
        <w:rPr>
          <w:rFonts w:ascii="Arial" w:eastAsia="Times New Roman" w:hAnsi="Arial" w:cs="Times New Roman"/>
          <w:b/>
          <w:color w:val="000000"/>
          <w:sz w:val="28"/>
          <w:szCs w:val="24"/>
          <w:lang w:val="es-ES" w:eastAsia="es-ES"/>
        </w:rPr>
        <w:t>9</w:t>
      </w:r>
    </w:p>
    <w:p w:rsidR="008857CC" w:rsidRPr="008857CC"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right"/>
        <w:rPr>
          <w:rFonts w:ascii="Arial" w:eastAsia="Times New Roman" w:hAnsi="Arial" w:cs="Times New Roman"/>
          <w:b/>
          <w:color w:val="000000"/>
          <w:sz w:val="28"/>
          <w:szCs w:val="24"/>
          <w:lang w:eastAsia="es-ES"/>
        </w:rPr>
      </w:pPr>
    </w:p>
    <w:p w:rsidR="008857CC" w:rsidRPr="008857CC" w:rsidRDefault="00854676" w:rsidP="008857CC">
      <w:pPr>
        <w:spacing w:after="0" w:line="240" w:lineRule="auto"/>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32"/>
          <w:lang w:val="es-ES" w:eastAsia="es-ES"/>
        </w:rPr>
        <w:lastRenderedPageBreak/>
        <w:t>INFORMACIÓN DEL CDM</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8857CC"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8857CC" w:rsidRDefault="00854676" w:rsidP="008857CC">
            <w:pPr>
              <w:spacing w:after="0" w:line="240" w:lineRule="auto"/>
              <w:jc w:val="center"/>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Datos generales del CDM</w:t>
            </w:r>
            <w:r w:rsidR="008857CC" w:rsidRPr="008857CC">
              <w:rPr>
                <w:rFonts w:ascii="Arial" w:eastAsia="Times New Roman" w:hAnsi="Arial" w:cs="Times New Roman"/>
                <w:color w:val="000000"/>
                <w:sz w:val="24"/>
                <w:szCs w:val="24"/>
                <w:lang w:val="es-ES" w:eastAsia="es-ES"/>
              </w:rPr>
              <w:t>:</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Jalisco</w:t>
            </w:r>
          </w:p>
        </w:tc>
      </w:tr>
      <w:tr w:rsidR="008857CC" w:rsidRPr="008857CC"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Instituto Jalisciense de las Mujeres/ Instancia Municipal de las Mujeres Mezquitic</w:t>
            </w:r>
          </w:p>
        </w:tc>
      </w:tr>
    </w:tbl>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8857CC"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8857CC" w:rsidRDefault="008857CC" w:rsidP="008857CC">
            <w:pPr>
              <w:spacing w:after="0" w:line="240" w:lineRule="auto"/>
              <w:jc w:val="center"/>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Información del Área Responsable:</w:t>
            </w:r>
          </w:p>
        </w:tc>
      </w:tr>
      <w:tr w:rsidR="008857CC" w:rsidRPr="008857CC"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8857CC" w:rsidRDefault="00141AFD" w:rsidP="008857CC">
            <w:pPr>
              <w:spacing w:after="0" w:line="240" w:lineRule="auto"/>
              <w:rPr>
                <w:rFonts w:ascii="Arial" w:eastAsia="Times New Roman" w:hAnsi="Arial" w:cs="Times New Roman"/>
                <w:color w:val="000000"/>
                <w:sz w:val="24"/>
                <w:szCs w:val="24"/>
                <w:lang w:val="es-ES" w:eastAsia="es-ES"/>
              </w:rPr>
            </w:pPr>
            <w:r w:rsidRPr="00AB7EB3">
              <w:rPr>
                <w:rFonts w:ascii="Arial" w:eastAsia="Times New Roman" w:hAnsi="Arial" w:cs="Times New Roman"/>
                <w:color w:val="000000"/>
                <w:sz w:val="24"/>
                <w:szCs w:val="24"/>
                <w:highlight w:val="yellow"/>
                <w:lang w:val="es-ES" w:eastAsia="es-ES"/>
              </w:rPr>
              <w:t>Lic. Alejandro Chávez Zamudio</w:t>
            </w:r>
          </w:p>
          <w:p w:rsidR="008857CC" w:rsidRPr="008857CC" w:rsidRDefault="008857CC" w:rsidP="008857CC">
            <w:pPr>
              <w:spacing w:after="0" w:line="240" w:lineRule="auto"/>
              <w:rPr>
                <w:rFonts w:ascii="Arial" w:eastAsia="Times New Roman" w:hAnsi="Arial" w:cs="Times New Roman"/>
                <w:color w:val="000000"/>
                <w:sz w:val="24"/>
                <w:szCs w:val="24"/>
                <w:lang w:val="es-ES" w:eastAsia="es-ES"/>
              </w:rPr>
            </w:pP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Mezquitic</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F3487C" w:rsidP="005E22F7">
            <w:pPr>
              <w:spacing w:after="0" w:line="24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Enero</w:t>
            </w:r>
            <w:r w:rsidR="008857CC" w:rsidRPr="008857CC">
              <w:rPr>
                <w:rFonts w:ascii="Arial" w:eastAsia="Times New Roman" w:hAnsi="Arial" w:cs="Times New Roman"/>
                <w:color w:val="000000"/>
                <w:sz w:val="24"/>
                <w:szCs w:val="24"/>
                <w:lang w:val="es-ES" w:eastAsia="es-ES"/>
              </w:rPr>
              <w:t xml:space="preserve"> de 201</w:t>
            </w:r>
            <w:r>
              <w:rPr>
                <w:rFonts w:ascii="Arial" w:eastAsia="Times New Roman" w:hAnsi="Arial" w:cs="Times New Roman"/>
                <w:color w:val="000000"/>
                <w:sz w:val="24"/>
                <w:szCs w:val="24"/>
                <w:lang w:val="es-ES" w:eastAsia="es-ES"/>
              </w:rPr>
              <w:t>9</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Capacitación y asesorías</w:t>
            </w:r>
            <w:r w:rsidR="00CB00B2">
              <w:rPr>
                <w:rFonts w:ascii="Arial" w:eastAsia="Times New Roman" w:hAnsi="Arial" w:cs="Times New Roman"/>
                <w:color w:val="000000"/>
                <w:sz w:val="24"/>
                <w:szCs w:val="24"/>
                <w:lang w:val="es-ES" w:eastAsia="es-ES"/>
              </w:rPr>
              <w:t xml:space="preserve"> psicológicas</w:t>
            </w:r>
            <w:r w:rsidR="00D72065">
              <w:rPr>
                <w:rFonts w:ascii="Arial" w:eastAsia="Times New Roman" w:hAnsi="Arial" w:cs="Times New Roman"/>
                <w:color w:val="000000"/>
                <w:sz w:val="24"/>
                <w:szCs w:val="24"/>
                <w:lang w:val="es-ES" w:eastAsia="es-ES"/>
              </w:rPr>
              <w:t xml:space="preserve"> y jurídicas </w:t>
            </w:r>
          </w:p>
        </w:tc>
      </w:tr>
    </w:tbl>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2C395F" w:rsidRDefault="002C395F" w:rsidP="002C395F">
      <w:pPr>
        <w:spacing w:after="0" w:line="240" w:lineRule="auto"/>
        <w:jc w:val="both"/>
        <w:rPr>
          <w:rFonts w:ascii="Arial" w:eastAsia="Times New Roman" w:hAnsi="Arial" w:cs="Times New Roman"/>
          <w:b/>
          <w:color w:val="000000"/>
          <w:sz w:val="24"/>
          <w:szCs w:val="24"/>
          <w:lang w:val="es-ES" w:eastAsia="es-ES"/>
        </w:rPr>
      </w:pPr>
    </w:p>
    <w:p w:rsidR="002C395F" w:rsidRDefault="002C395F" w:rsidP="002C395F">
      <w:pPr>
        <w:spacing w:after="0" w:line="240" w:lineRule="auto"/>
        <w:jc w:val="both"/>
        <w:rPr>
          <w:rFonts w:ascii="Arial" w:eastAsia="Times New Roman" w:hAnsi="Arial" w:cs="Times New Roman"/>
          <w:b/>
          <w:color w:val="000000"/>
          <w:sz w:val="28"/>
          <w:szCs w:val="32"/>
          <w:lang w:val="es-ES" w:eastAsia="es-ES"/>
        </w:rPr>
      </w:pPr>
      <w:r>
        <w:rPr>
          <w:rFonts w:ascii="Arial" w:eastAsia="Times New Roman" w:hAnsi="Arial" w:cs="Times New Roman"/>
          <w:b/>
          <w:color w:val="000000"/>
          <w:sz w:val="28"/>
          <w:szCs w:val="32"/>
          <w:lang w:val="es-ES" w:eastAsia="es-ES"/>
        </w:rPr>
        <w:t xml:space="preserve">ANTECEDENTES </w:t>
      </w:r>
    </w:p>
    <w:p w:rsidR="002C395F" w:rsidRDefault="002C395F" w:rsidP="002C395F">
      <w:pPr>
        <w:spacing w:after="0"/>
        <w:jc w:val="both"/>
        <w:rPr>
          <w:rFonts w:cstheme="minorHAnsi"/>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t>El Programa de Fortalecimiento a la Transversalidad de la Perspectiva de Género tiene una cobertura Nacional y su </w:t>
      </w:r>
      <w:r>
        <w:rPr>
          <w:rFonts w:ascii="Arial" w:hAnsi="Arial" w:cs="Arial"/>
          <w:bCs/>
          <w:color w:val="000000"/>
          <w:sz w:val="24"/>
          <w:szCs w:val="24"/>
        </w:rPr>
        <w:t>población objetivo</w:t>
      </w:r>
      <w:r>
        <w:rPr>
          <w:rFonts w:ascii="Arial" w:hAnsi="Arial" w:cs="Arial"/>
          <w:b/>
          <w:bCs/>
          <w:color w:val="000000"/>
          <w:sz w:val="24"/>
          <w:szCs w:val="24"/>
        </w:rPr>
        <w:t xml:space="preserve"> </w:t>
      </w:r>
      <w:r>
        <w:rPr>
          <w:rFonts w:ascii="Arial" w:hAnsi="Arial" w:cs="Arial"/>
          <w:color w:val="000000"/>
          <w:sz w:val="24"/>
          <w:szCs w:val="24"/>
        </w:rPr>
        <w:t>son las Instancias de las Mujeres en las Entidades Federativas (IMEF) y las Instancias Municipales de las Mujeres (IMM), es decir, los </w:t>
      </w:r>
      <w:r>
        <w:rPr>
          <w:rFonts w:ascii="Arial" w:hAnsi="Arial" w:cs="Arial"/>
          <w:iCs/>
          <w:color w:val="000000"/>
          <w:sz w:val="24"/>
          <w:szCs w:val="24"/>
        </w:rPr>
        <w:t>mecanismos para el adelanto de las mujeres</w:t>
      </w:r>
      <w:r>
        <w:rPr>
          <w:rFonts w:ascii="Arial" w:hAnsi="Arial" w:cs="Arial"/>
          <w:color w:val="000000"/>
          <w:sz w:val="24"/>
          <w:szCs w:val="24"/>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t xml:space="preserve">Con la convicción de la importancia que tiene el Desarrollo Humano con Perspectiva de Género, para lograr la igualdad sustantiva en las localidades, el </w:t>
      </w:r>
      <w:proofErr w:type="spellStart"/>
      <w:r>
        <w:rPr>
          <w:rFonts w:ascii="Arial" w:hAnsi="Arial" w:cs="Arial"/>
          <w:color w:val="000000"/>
          <w:sz w:val="24"/>
          <w:szCs w:val="24"/>
        </w:rPr>
        <w:t>Inmujeres</w:t>
      </w:r>
      <w:proofErr w:type="spellEnd"/>
      <w:r>
        <w:rPr>
          <w:rFonts w:ascii="Arial" w:hAnsi="Arial" w:cs="Arial"/>
          <w:color w:val="000000"/>
          <w:sz w:val="24"/>
          <w:szCs w:val="24"/>
        </w:rPr>
        <w:t xml:space="preserve"> ha emprendido la instalación de Centros para el Desarrollo de las Mujeres (CDM). </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La instalación del CDM está sustentada en las atribuciones conferidas al </w:t>
      </w:r>
      <w:proofErr w:type="spellStart"/>
      <w:r>
        <w:rPr>
          <w:rFonts w:ascii="Arial" w:hAnsi="Arial" w:cs="Arial"/>
          <w:color w:val="000000"/>
          <w:sz w:val="24"/>
          <w:szCs w:val="24"/>
        </w:rPr>
        <w:t>Inmujeres</w:t>
      </w:r>
      <w:proofErr w:type="spellEnd"/>
      <w:r>
        <w:rPr>
          <w:rFonts w:ascii="Arial" w:hAnsi="Arial" w:cs="Arial"/>
          <w:color w:val="000000"/>
          <w:sz w:val="24"/>
          <w:szCs w:val="24"/>
        </w:rPr>
        <w:t xml:space="preserve"> como órgano de la Administración Pública Federal, encargada de promover y fomentar las condiciones que posibiliten la no discriminación, la igualdad de oportunidades y de trato 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2C395F" w:rsidRDefault="002C395F" w:rsidP="002C395F">
      <w:pPr>
        <w:spacing w:after="0" w:line="360" w:lineRule="auto"/>
        <w:jc w:val="both"/>
        <w:rPr>
          <w:rFonts w:ascii="Arial" w:eastAsia="Times New Roman" w:hAnsi="Arial" w:cs="Arial"/>
          <w:color w:val="000000"/>
          <w:sz w:val="24"/>
          <w:szCs w:val="24"/>
          <w:lang w:val="es-ES" w:eastAsia="es-ES"/>
        </w:rPr>
      </w:pPr>
    </w:p>
    <w:p w:rsidR="002C395F" w:rsidRDefault="002C395F" w:rsidP="002C395F">
      <w:pPr>
        <w:spacing w:after="0" w:line="360" w:lineRule="auto"/>
        <w:jc w:val="both"/>
        <w:rPr>
          <w:rFonts w:ascii="Arial" w:eastAsia="Times New Roman" w:hAnsi="Arial" w:cs="Arial"/>
          <w:b/>
          <w:color w:val="000000"/>
          <w:sz w:val="24"/>
          <w:szCs w:val="24"/>
          <w:lang w:val="es-ES" w:eastAsia="es-ES"/>
        </w:rPr>
      </w:pPr>
      <w:r>
        <w:rPr>
          <w:rFonts w:ascii="Arial" w:eastAsia="Times New Roman" w:hAnsi="Arial" w:cs="Arial"/>
          <w:b/>
          <w:color w:val="000000"/>
          <w:sz w:val="24"/>
          <w:szCs w:val="24"/>
          <w:lang w:val="es-ES" w:eastAsia="es-ES"/>
        </w:rPr>
        <w:t>INTRODUCCIÓN</w:t>
      </w:r>
    </w:p>
    <w:p w:rsidR="002C395F" w:rsidRDefault="002C395F" w:rsidP="002C395F">
      <w:pPr>
        <w:spacing w:after="0" w:line="360" w:lineRule="auto"/>
        <w:jc w:val="both"/>
        <w:rPr>
          <w:rFonts w:ascii="Arial" w:hAnsi="Arial" w:cs="Arial"/>
          <w:iCs/>
          <w:color w:val="000000"/>
          <w:sz w:val="24"/>
          <w:szCs w:val="24"/>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 xml:space="preserve">El Instituto Nacional de las Mujeres reconoce que los avances en materia legislativa han sido fundamentales para la reivindicación de los derechos humanos de las mujeres y para alcanzar la igualdad formal, la igualdad jurídica entre </w:t>
      </w:r>
      <w:r>
        <w:rPr>
          <w:rFonts w:ascii="Arial" w:hAnsi="Arial" w:cs="Arial"/>
          <w:iCs/>
          <w:color w:val="000000"/>
          <w:sz w:val="24"/>
          <w:szCs w:val="24"/>
        </w:rPr>
        <w:lastRenderedPageBreak/>
        <w:t>mujeres y hombres; pero no garantizan la igualdad sustantiva, la igualdad de facto. Por ello es necesario generar políticas públicas de igualdad, que respondan a los marcos normativos a través de acciones encaminadas a lograr la igualdad en los hechos.</w:t>
      </w:r>
    </w:p>
    <w:p w:rsidR="002C395F" w:rsidRDefault="002C395F" w:rsidP="002C395F">
      <w:pPr>
        <w:spacing w:after="0" w:line="360" w:lineRule="auto"/>
        <w:jc w:val="both"/>
        <w:rPr>
          <w:rFonts w:ascii="Arial" w:eastAsia="Times New Roman" w:hAnsi="Arial" w:cs="Arial"/>
          <w:color w:val="000000"/>
          <w:sz w:val="24"/>
          <w:szCs w:val="24"/>
          <w:lang w:val="es-ES" w:eastAsia="es-ES"/>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2C395F" w:rsidRDefault="002C395F" w:rsidP="002C395F">
      <w:pPr>
        <w:spacing w:after="0" w:line="360" w:lineRule="auto"/>
        <w:jc w:val="both"/>
        <w:rPr>
          <w:rFonts w:ascii="Arial" w:hAnsi="Arial" w:cs="Arial"/>
          <w:iCs/>
          <w:color w:val="000000"/>
          <w:sz w:val="24"/>
          <w:szCs w:val="24"/>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En este sentido, la implementación de los </w:t>
      </w:r>
      <w:r>
        <w:rPr>
          <w:rFonts w:ascii="Arial" w:hAnsi="Arial" w:cs="Arial"/>
          <w:bCs/>
          <w:iCs/>
          <w:color w:val="000000"/>
          <w:sz w:val="24"/>
          <w:szCs w:val="24"/>
        </w:rPr>
        <w:t>Centros para el Desarrollo de las Mujeres</w:t>
      </w:r>
      <w:r>
        <w:rPr>
          <w:rFonts w:ascii="Arial" w:hAnsi="Arial" w:cs="Arial"/>
          <w:b/>
          <w:bCs/>
          <w:iCs/>
          <w:color w:val="000000"/>
          <w:sz w:val="24"/>
          <w:szCs w:val="24"/>
        </w:rPr>
        <w:t xml:space="preserve"> </w:t>
      </w:r>
      <w:r>
        <w:rPr>
          <w:rFonts w:ascii="Arial" w:hAnsi="Arial" w:cs="Arial"/>
          <w:iCs/>
          <w:color w:val="000000"/>
          <w:sz w:val="24"/>
          <w:szCs w:val="24"/>
        </w:rPr>
        <w:t>a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8857CC" w:rsidRPr="002C395F" w:rsidRDefault="008857CC" w:rsidP="008857CC">
      <w:pPr>
        <w:spacing w:after="0" w:line="240" w:lineRule="auto"/>
        <w:jc w:val="both"/>
        <w:rPr>
          <w:rFonts w:ascii="Arial" w:eastAsia="Times New Roman" w:hAnsi="Arial" w:cs="Times New Roman"/>
          <w:b/>
          <w:color w:val="000000"/>
          <w:sz w:val="24"/>
          <w:szCs w:val="24"/>
          <w:lang w:eastAsia="es-ES"/>
        </w:rPr>
      </w:pPr>
    </w:p>
    <w:p w:rsidR="0094314B" w:rsidRPr="008857CC" w:rsidRDefault="0094314B"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360" w:lineRule="auto"/>
        <w:jc w:val="both"/>
        <w:rPr>
          <w:rFonts w:ascii="Arial" w:hAnsi="Arial"/>
          <w:iCs/>
          <w:color w:val="000000"/>
          <w:sz w:val="24"/>
          <w:szCs w:val="24"/>
        </w:rPr>
      </w:pPr>
    </w:p>
    <w:p w:rsidR="008857CC" w:rsidRPr="008857CC" w:rsidRDefault="008857CC" w:rsidP="008857CC">
      <w:pPr>
        <w:tabs>
          <w:tab w:val="left" w:pos="1770"/>
        </w:tabs>
        <w:spacing w:after="0" w:line="360" w:lineRule="auto"/>
        <w:jc w:val="center"/>
        <w:rPr>
          <w:rFonts w:ascii="Arial" w:eastAsia="Times New Roman" w:hAnsi="Arial" w:cs="Times New Roman"/>
          <w:b/>
          <w:color w:val="000000"/>
          <w:sz w:val="32"/>
          <w:szCs w:val="32"/>
          <w:lang w:val="es-ES" w:eastAsia="es-ES"/>
        </w:rPr>
      </w:pPr>
      <w:r w:rsidRPr="008857CC">
        <w:rPr>
          <w:rFonts w:ascii="Arial" w:eastAsia="Times New Roman" w:hAnsi="Arial" w:cs="Times New Roman"/>
          <w:b/>
          <w:color w:val="000000"/>
          <w:sz w:val="32"/>
          <w:szCs w:val="32"/>
          <w:lang w:val="es-ES" w:eastAsia="es-ES"/>
        </w:rPr>
        <w:t>INFORME  DE OPERACIONES CDM MEZQUITIC</w:t>
      </w:r>
    </w:p>
    <w:p w:rsidR="008857CC" w:rsidRPr="008857CC" w:rsidRDefault="008857CC" w:rsidP="008857CC">
      <w:pPr>
        <w:spacing w:after="0" w:line="240" w:lineRule="auto"/>
        <w:jc w:val="center"/>
        <w:rPr>
          <w:rFonts w:ascii="Times New Roman" w:eastAsia="Times New Roman" w:hAnsi="Times New Roman" w:cs="Times New Roman"/>
          <w:color w:val="000000"/>
          <w:sz w:val="24"/>
          <w:szCs w:val="24"/>
          <w:lang w:val="es-ES" w:eastAsia="es-ES"/>
        </w:rPr>
      </w:pPr>
    </w:p>
    <w:p w:rsidR="008857CC" w:rsidRPr="008857CC" w:rsidRDefault="008857CC" w:rsidP="008857CC">
      <w:pPr>
        <w:tabs>
          <w:tab w:val="left" w:pos="1770"/>
        </w:tabs>
        <w:spacing w:after="0"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t>CUALITATIVO</w:t>
      </w:r>
    </w:p>
    <w:p w:rsidR="005722AD" w:rsidRPr="008231B2" w:rsidRDefault="00F33B78" w:rsidP="008231B2">
      <w:pPr>
        <w:spacing w:before="240" w:line="360" w:lineRule="auto"/>
        <w:jc w:val="both"/>
        <w:rPr>
          <w:rFonts w:ascii="Arial" w:hAnsi="Arial"/>
          <w:sz w:val="24"/>
          <w:szCs w:val="24"/>
          <w:lang w:val="es-ES"/>
        </w:rPr>
      </w:pPr>
      <w:r w:rsidRPr="0076606C">
        <w:rPr>
          <w:rFonts w:ascii="Arial" w:hAnsi="Arial" w:cs="Arial"/>
          <w:sz w:val="24"/>
          <w:szCs w:val="24"/>
        </w:rPr>
        <w:t>En el presente informe cualitativo</w:t>
      </w:r>
      <w:r w:rsidRPr="0076606C">
        <w:rPr>
          <w:rFonts w:ascii="Arial" w:hAnsi="Arial"/>
          <w:sz w:val="24"/>
          <w:szCs w:val="24"/>
        </w:rPr>
        <w:t xml:space="preserve"> se e</w:t>
      </w:r>
      <w:r w:rsidR="00C20AA6">
        <w:rPr>
          <w:rFonts w:ascii="Arial" w:hAnsi="Arial"/>
          <w:sz w:val="24"/>
          <w:szCs w:val="24"/>
        </w:rPr>
        <w:t xml:space="preserve">ncuentran las actividades que realizó </w:t>
      </w:r>
      <w:r w:rsidRPr="0076606C">
        <w:rPr>
          <w:rFonts w:ascii="Arial" w:hAnsi="Arial"/>
          <w:sz w:val="24"/>
          <w:szCs w:val="24"/>
        </w:rPr>
        <w:t xml:space="preserve">el </w:t>
      </w:r>
      <w:bookmarkStart w:id="0" w:name="_GoBack"/>
      <w:bookmarkEnd w:id="0"/>
      <w:r w:rsidRPr="0076606C">
        <w:rPr>
          <w:rFonts w:ascii="Arial" w:hAnsi="Arial"/>
          <w:sz w:val="24"/>
          <w:szCs w:val="24"/>
        </w:rPr>
        <w:t>CDM Mez</w:t>
      </w:r>
      <w:r w:rsidR="00AB7EB3">
        <w:rPr>
          <w:rFonts w:ascii="Arial" w:hAnsi="Arial"/>
          <w:sz w:val="24"/>
          <w:szCs w:val="24"/>
        </w:rPr>
        <w:t xml:space="preserve">quitic en el mes de </w:t>
      </w:r>
      <w:r w:rsidR="00F3487C">
        <w:rPr>
          <w:rFonts w:ascii="Arial" w:hAnsi="Arial"/>
          <w:sz w:val="24"/>
          <w:szCs w:val="24"/>
        </w:rPr>
        <w:t>enero de 2019</w:t>
      </w:r>
      <w:r w:rsidRPr="0076606C">
        <w:rPr>
          <w:rFonts w:ascii="Arial" w:hAnsi="Arial"/>
          <w:sz w:val="24"/>
          <w:szCs w:val="24"/>
        </w:rPr>
        <w:t>.</w:t>
      </w:r>
      <w:r w:rsidR="00F3487C">
        <w:rPr>
          <w:rFonts w:ascii="Arial" w:hAnsi="Arial"/>
          <w:sz w:val="24"/>
          <w:szCs w:val="24"/>
        </w:rPr>
        <w:t xml:space="preserve"> </w:t>
      </w:r>
      <w:r w:rsidR="00AB7EB3">
        <w:rPr>
          <w:rFonts w:ascii="Arial" w:hAnsi="Arial"/>
          <w:sz w:val="24"/>
          <w:szCs w:val="24"/>
        </w:rPr>
        <w:t xml:space="preserve"> </w:t>
      </w:r>
      <w:r w:rsidR="005722AD">
        <w:rPr>
          <w:rFonts w:ascii="Arial" w:eastAsia="Times New Roman" w:hAnsi="Arial" w:cs="Times New Roman"/>
          <w:sz w:val="24"/>
          <w:szCs w:val="24"/>
          <w:lang w:val="es-ES" w:eastAsia="es-ES"/>
        </w:rPr>
        <w:t xml:space="preserve"> </w:t>
      </w:r>
      <w:r w:rsidR="00AB7EB3">
        <w:rPr>
          <w:rFonts w:ascii="Arial" w:eastAsia="Times New Roman" w:hAnsi="Arial" w:cs="Times New Roman"/>
          <w:sz w:val="24"/>
          <w:szCs w:val="24"/>
          <w:lang w:val="es-ES" w:eastAsia="es-ES"/>
        </w:rPr>
        <w:t xml:space="preserve"> </w:t>
      </w:r>
    </w:p>
    <w:p w:rsidR="007C7BAE" w:rsidRDefault="005722AD" w:rsidP="00CE378E">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lastRenderedPageBreak/>
        <w:t>Se continuó dando talleres a la población ab</w:t>
      </w:r>
      <w:r w:rsidR="008231B2">
        <w:rPr>
          <w:rFonts w:ascii="Arial" w:eastAsia="Times New Roman" w:hAnsi="Arial" w:cs="Times New Roman"/>
          <w:color w:val="000000"/>
          <w:sz w:val="24"/>
          <w:szCs w:val="24"/>
          <w:lang w:eastAsia="es-ES"/>
        </w:rPr>
        <w:t>ierta en donde se llevó a cabo 2</w:t>
      </w:r>
      <w:r>
        <w:rPr>
          <w:rFonts w:ascii="Arial" w:eastAsia="Times New Roman" w:hAnsi="Arial" w:cs="Times New Roman"/>
          <w:color w:val="000000"/>
          <w:sz w:val="24"/>
          <w:szCs w:val="24"/>
          <w:lang w:eastAsia="es-ES"/>
        </w:rPr>
        <w:t xml:space="preserve"> talleres </w:t>
      </w:r>
      <w:r w:rsidR="00491F90">
        <w:rPr>
          <w:rFonts w:ascii="Arial" w:eastAsia="Times New Roman" w:hAnsi="Arial" w:cs="Times New Roman"/>
          <w:color w:val="000000"/>
          <w:sz w:val="24"/>
          <w:szCs w:val="24"/>
          <w:lang w:eastAsia="es-ES"/>
        </w:rPr>
        <w:t>una con la comunidad de Nostic c</w:t>
      </w:r>
      <w:r w:rsidR="00B01403">
        <w:rPr>
          <w:rFonts w:ascii="Arial" w:eastAsia="Times New Roman" w:hAnsi="Arial" w:cs="Times New Roman"/>
          <w:color w:val="000000"/>
          <w:sz w:val="24"/>
          <w:szCs w:val="24"/>
          <w:lang w:eastAsia="es-ES"/>
        </w:rPr>
        <w:t>on la población en general y</w:t>
      </w:r>
      <w:r w:rsidR="00491F90">
        <w:rPr>
          <w:rFonts w:ascii="Arial" w:eastAsia="Times New Roman" w:hAnsi="Arial" w:cs="Times New Roman"/>
          <w:color w:val="000000"/>
          <w:sz w:val="24"/>
          <w:szCs w:val="24"/>
          <w:lang w:eastAsia="es-ES"/>
        </w:rPr>
        <w:t xml:space="preserve"> la contra con las/os alumnas/os de Telesecundaria de </w:t>
      </w:r>
      <w:r w:rsidR="00B01403">
        <w:rPr>
          <w:rFonts w:ascii="Arial" w:eastAsia="Times New Roman" w:hAnsi="Arial" w:cs="Times New Roman"/>
          <w:color w:val="000000"/>
          <w:sz w:val="24"/>
          <w:szCs w:val="24"/>
          <w:lang w:eastAsia="es-ES"/>
        </w:rPr>
        <w:t xml:space="preserve">la comunidad de </w:t>
      </w:r>
      <w:r w:rsidR="00491F90">
        <w:rPr>
          <w:rFonts w:ascii="Arial" w:eastAsia="Times New Roman" w:hAnsi="Arial" w:cs="Times New Roman"/>
          <w:color w:val="000000"/>
          <w:sz w:val="24"/>
          <w:szCs w:val="24"/>
          <w:lang w:eastAsia="es-ES"/>
        </w:rPr>
        <w:t xml:space="preserve">El Mortero. </w:t>
      </w:r>
      <w:r>
        <w:rPr>
          <w:rFonts w:ascii="Arial" w:eastAsia="Times New Roman" w:hAnsi="Arial" w:cs="Times New Roman"/>
          <w:color w:val="000000"/>
          <w:sz w:val="24"/>
          <w:szCs w:val="24"/>
          <w:lang w:eastAsia="es-ES"/>
        </w:rPr>
        <w:t xml:space="preserve">Estos talleres se realizaron en el </w:t>
      </w:r>
      <w:r w:rsidR="00491F90">
        <w:rPr>
          <w:rFonts w:ascii="Arial" w:eastAsia="Times New Roman" w:hAnsi="Arial" w:cs="Times New Roman"/>
          <w:color w:val="000000"/>
          <w:sz w:val="24"/>
          <w:szCs w:val="24"/>
          <w:lang w:eastAsia="es-ES"/>
        </w:rPr>
        <w:t xml:space="preserve">auditorio de la comunidad y en una de las aulas de la escuela. </w:t>
      </w:r>
    </w:p>
    <w:p w:rsidR="004B0152" w:rsidRDefault="004B0152" w:rsidP="00CE378E">
      <w:pPr>
        <w:tabs>
          <w:tab w:val="left" w:pos="1770"/>
        </w:tabs>
        <w:spacing w:after="0" w:line="360" w:lineRule="auto"/>
        <w:jc w:val="both"/>
        <w:rPr>
          <w:rFonts w:ascii="Arial" w:eastAsia="Times New Roman" w:hAnsi="Arial" w:cs="Times New Roman"/>
          <w:color w:val="000000"/>
          <w:sz w:val="24"/>
          <w:szCs w:val="24"/>
          <w:lang w:eastAsia="es-ES"/>
        </w:rPr>
      </w:pPr>
    </w:p>
    <w:p w:rsidR="000F7047" w:rsidRDefault="007C7BAE" w:rsidP="00CE378E">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t>Durant</w:t>
      </w:r>
      <w:r w:rsidR="00D32AE4">
        <w:rPr>
          <w:rFonts w:ascii="Arial" w:eastAsia="Times New Roman" w:hAnsi="Arial" w:cs="Times New Roman"/>
          <w:color w:val="000000"/>
          <w:sz w:val="24"/>
          <w:szCs w:val="24"/>
          <w:lang w:eastAsia="es-ES"/>
        </w:rPr>
        <w:t>e el desarrollo de la plática la</w:t>
      </w:r>
      <w:r>
        <w:rPr>
          <w:rFonts w:ascii="Arial" w:eastAsia="Times New Roman" w:hAnsi="Arial" w:cs="Times New Roman"/>
          <w:color w:val="000000"/>
          <w:sz w:val="24"/>
          <w:szCs w:val="24"/>
          <w:lang w:eastAsia="es-ES"/>
        </w:rPr>
        <w:t xml:space="preserve">s </w:t>
      </w:r>
      <w:r w:rsidR="00D32AE4">
        <w:rPr>
          <w:rFonts w:ascii="Arial" w:eastAsia="Times New Roman" w:hAnsi="Arial" w:cs="Times New Roman"/>
          <w:color w:val="000000"/>
          <w:sz w:val="24"/>
          <w:szCs w:val="24"/>
          <w:lang w:eastAsia="es-ES"/>
        </w:rPr>
        <w:t xml:space="preserve">alumnas y </w:t>
      </w:r>
      <w:r>
        <w:rPr>
          <w:rFonts w:ascii="Arial" w:eastAsia="Times New Roman" w:hAnsi="Arial" w:cs="Times New Roman"/>
          <w:color w:val="000000"/>
          <w:sz w:val="24"/>
          <w:szCs w:val="24"/>
          <w:lang w:eastAsia="es-ES"/>
        </w:rPr>
        <w:t xml:space="preserve">alumnos manifestaron interés </w:t>
      </w:r>
      <w:r w:rsidR="004B0152">
        <w:rPr>
          <w:rFonts w:ascii="Arial" w:eastAsia="Times New Roman" w:hAnsi="Arial" w:cs="Times New Roman"/>
          <w:color w:val="000000"/>
          <w:sz w:val="24"/>
          <w:szCs w:val="24"/>
          <w:lang w:eastAsia="es-ES"/>
        </w:rPr>
        <w:t>por el tema, hicieron pre</w:t>
      </w:r>
      <w:r w:rsidR="00D32AE4">
        <w:rPr>
          <w:rFonts w:ascii="Arial" w:eastAsia="Times New Roman" w:hAnsi="Arial" w:cs="Times New Roman"/>
          <w:color w:val="000000"/>
          <w:sz w:val="24"/>
          <w:szCs w:val="24"/>
          <w:lang w:eastAsia="es-ES"/>
        </w:rPr>
        <w:t xml:space="preserve">guntas y compartieron </w:t>
      </w:r>
      <w:r w:rsidR="004B0152">
        <w:rPr>
          <w:rFonts w:ascii="Arial" w:eastAsia="Times New Roman" w:hAnsi="Arial" w:cs="Times New Roman"/>
          <w:color w:val="000000"/>
          <w:sz w:val="24"/>
          <w:szCs w:val="24"/>
          <w:lang w:eastAsia="es-ES"/>
        </w:rPr>
        <w:t>algunas situaciones en las que se han visto inmersas/os referente a la desigualdad en la que mujeres y hombres nos encontramos</w:t>
      </w:r>
      <w:r w:rsidR="00D32AE4">
        <w:rPr>
          <w:rFonts w:ascii="Arial" w:eastAsia="Times New Roman" w:hAnsi="Arial" w:cs="Times New Roman"/>
          <w:color w:val="000000"/>
          <w:sz w:val="24"/>
          <w:szCs w:val="24"/>
          <w:lang w:eastAsia="es-ES"/>
        </w:rPr>
        <w:t xml:space="preserve"> socialmente; por ejemplo, alumnas mencionaban que es común que las labores del hogar sigan siendo propias de las mujere</w:t>
      </w:r>
      <w:r w:rsidR="000C7281">
        <w:rPr>
          <w:rFonts w:ascii="Arial" w:eastAsia="Times New Roman" w:hAnsi="Arial" w:cs="Times New Roman"/>
          <w:color w:val="000000"/>
          <w:sz w:val="24"/>
          <w:szCs w:val="24"/>
          <w:lang w:eastAsia="es-ES"/>
        </w:rPr>
        <w:t xml:space="preserve">s, así como los permisos para salir y los horarios de </w:t>
      </w:r>
      <w:r w:rsidR="006407DF">
        <w:rPr>
          <w:rFonts w:ascii="Arial" w:eastAsia="Times New Roman" w:hAnsi="Arial" w:cs="Times New Roman"/>
          <w:color w:val="000000"/>
          <w:sz w:val="24"/>
          <w:szCs w:val="24"/>
          <w:lang w:eastAsia="es-ES"/>
        </w:rPr>
        <w:t>entretenimiento</w:t>
      </w:r>
      <w:r w:rsidR="000F7047">
        <w:rPr>
          <w:rFonts w:ascii="Arial" w:eastAsia="Times New Roman" w:hAnsi="Arial" w:cs="Times New Roman"/>
          <w:color w:val="000000"/>
          <w:sz w:val="24"/>
          <w:szCs w:val="24"/>
          <w:lang w:eastAsia="es-ES"/>
        </w:rPr>
        <w:t xml:space="preserve"> están condicionados mientras que para el hombre tienen más libertad para diversiones y seguir creciendo económicamente, en la política, en la educación, etc. </w:t>
      </w:r>
    </w:p>
    <w:p w:rsidR="000F7047" w:rsidRDefault="000F7047" w:rsidP="00CE378E">
      <w:pPr>
        <w:tabs>
          <w:tab w:val="left" w:pos="1770"/>
        </w:tabs>
        <w:spacing w:after="0" w:line="360" w:lineRule="auto"/>
        <w:jc w:val="both"/>
        <w:rPr>
          <w:rFonts w:ascii="Arial" w:eastAsia="Times New Roman" w:hAnsi="Arial" w:cs="Times New Roman"/>
          <w:color w:val="000000"/>
          <w:sz w:val="24"/>
          <w:szCs w:val="24"/>
          <w:lang w:eastAsia="es-ES"/>
        </w:rPr>
      </w:pPr>
    </w:p>
    <w:p w:rsidR="00915F70" w:rsidRDefault="000C7281" w:rsidP="00E85AD8">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t>Comentaban de manera generalizada que son conscientes de la igualdad de roles entre hombres y mujeres, sin embargo, coincidían en que es difícil que la sociedad adulta acepte el cambio.</w:t>
      </w:r>
      <w:r w:rsidR="004B0152">
        <w:rPr>
          <w:rFonts w:ascii="Arial" w:eastAsia="Times New Roman" w:hAnsi="Arial" w:cs="Times New Roman"/>
          <w:color w:val="000000"/>
          <w:sz w:val="24"/>
          <w:szCs w:val="24"/>
          <w:lang w:eastAsia="es-ES"/>
        </w:rPr>
        <w:t xml:space="preserve"> </w:t>
      </w:r>
      <w:r w:rsidR="000F7047">
        <w:rPr>
          <w:rFonts w:ascii="Arial" w:eastAsia="Times New Roman" w:hAnsi="Arial" w:cs="Times New Roman"/>
          <w:color w:val="000000"/>
          <w:sz w:val="24"/>
          <w:szCs w:val="24"/>
          <w:lang w:eastAsia="es-ES"/>
        </w:rPr>
        <w:t xml:space="preserve">Explicaban que a ellos les toca educar o sensibilizar a sus hijas e hijos que las responsabilidades dentro del hogar y fuera son obligaciones de ambos sexos y que es mejor reconocerlas y llevarlas a cabo </w:t>
      </w:r>
      <w:r w:rsidR="00E85AD8">
        <w:rPr>
          <w:rFonts w:ascii="Arial" w:eastAsia="Times New Roman" w:hAnsi="Arial" w:cs="Times New Roman"/>
          <w:color w:val="000000"/>
          <w:sz w:val="24"/>
          <w:szCs w:val="24"/>
          <w:lang w:eastAsia="es-ES"/>
        </w:rPr>
        <w:t>para evitar ciertas violencias.</w:t>
      </w:r>
    </w:p>
    <w:p w:rsidR="00E85AD8" w:rsidRPr="00E85AD8" w:rsidRDefault="00E85AD8" w:rsidP="00E85AD8">
      <w:pPr>
        <w:tabs>
          <w:tab w:val="left" w:pos="1770"/>
        </w:tabs>
        <w:spacing w:after="0" w:line="360" w:lineRule="auto"/>
        <w:jc w:val="both"/>
        <w:rPr>
          <w:rFonts w:ascii="Arial" w:eastAsia="Times New Roman" w:hAnsi="Arial" w:cs="Times New Roman"/>
          <w:color w:val="000000"/>
          <w:sz w:val="24"/>
          <w:szCs w:val="24"/>
          <w:lang w:eastAsia="es-ES"/>
        </w:rPr>
      </w:pPr>
    </w:p>
    <w:p w:rsidR="00677DFE" w:rsidRPr="00915F70" w:rsidRDefault="00E85AD8" w:rsidP="00677DFE">
      <w:pPr>
        <w:spacing w:line="360" w:lineRule="auto"/>
        <w:jc w:val="both"/>
        <w:rPr>
          <w:rFonts w:ascii="Arial" w:hAnsi="Arial" w:cs="Arial"/>
          <w:sz w:val="24"/>
          <w:szCs w:val="24"/>
        </w:rPr>
      </w:pPr>
      <w:r>
        <w:rPr>
          <w:rFonts w:ascii="Arial" w:hAnsi="Arial" w:cs="Arial"/>
          <w:sz w:val="24"/>
          <w:szCs w:val="24"/>
        </w:rPr>
        <w:t>M</w:t>
      </w:r>
      <w:r w:rsidR="00915F70" w:rsidRPr="00915F70">
        <w:rPr>
          <w:rFonts w:ascii="Arial" w:hAnsi="Arial" w:cs="Arial"/>
          <w:sz w:val="24"/>
          <w:szCs w:val="24"/>
        </w:rPr>
        <w:t xml:space="preserve">encionaban que desde siempre ha existido la violencia en contra de las mujeres y eso lo pueden constatar </w:t>
      </w:r>
      <w:r w:rsidR="00915F70">
        <w:rPr>
          <w:rFonts w:ascii="Arial" w:hAnsi="Arial" w:cs="Arial"/>
          <w:sz w:val="24"/>
          <w:szCs w:val="24"/>
        </w:rPr>
        <w:t>ellas/os, en su época se</w:t>
      </w:r>
      <w:r w:rsidR="00915F70" w:rsidRPr="00915F70">
        <w:rPr>
          <w:rFonts w:ascii="Arial" w:hAnsi="Arial" w:cs="Arial"/>
          <w:sz w:val="24"/>
          <w:szCs w:val="24"/>
        </w:rPr>
        <w:t xml:space="preserve"> veían esto como algo normal, algo con lo que les tocaba lidiar y vivir; </w:t>
      </w:r>
      <w:r w:rsidR="00915F70">
        <w:rPr>
          <w:rFonts w:ascii="Arial" w:hAnsi="Arial" w:cs="Arial"/>
          <w:sz w:val="24"/>
          <w:szCs w:val="24"/>
        </w:rPr>
        <w:t xml:space="preserve">comentaban que </w:t>
      </w:r>
      <w:r w:rsidR="00915F70" w:rsidRPr="00915F70">
        <w:rPr>
          <w:rFonts w:ascii="Arial" w:hAnsi="Arial" w:cs="Arial"/>
          <w:sz w:val="24"/>
          <w:szCs w:val="24"/>
        </w:rPr>
        <w:t>hoy en día las nuevas generaciones poco a poco han ido concientizándos</w:t>
      </w:r>
      <w:r w:rsidR="00B01403">
        <w:rPr>
          <w:rFonts w:ascii="Arial" w:hAnsi="Arial" w:cs="Arial"/>
          <w:sz w:val="24"/>
          <w:szCs w:val="24"/>
        </w:rPr>
        <w:t xml:space="preserve">e que la violencia no es normal. </w:t>
      </w:r>
      <w:r w:rsidR="00915F70" w:rsidRPr="00915F70">
        <w:rPr>
          <w:rFonts w:ascii="Arial" w:hAnsi="Arial" w:cs="Arial"/>
          <w:sz w:val="24"/>
          <w:szCs w:val="24"/>
        </w:rPr>
        <w:t xml:space="preserve"> </w:t>
      </w:r>
      <w:r w:rsidR="00677DFE" w:rsidRPr="00915F70">
        <w:rPr>
          <w:rFonts w:ascii="Arial" w:hAnsi="Arial" w:cs="Arial"/>
          <w:sz w:val="24"/>
          <w:szCs w:val="24"/>
        </w:rPr>
        <w:t xml:space="preserve">  </w:t>
      </w:r>
    </w:p>
    <w:p w:rsidR="00E85AD8" w:rsidRDefault="00370B30" w:rsidP="00016062">
      <w:pPr>
        <w:spacing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Por último, e</w:t>
      </w:r>
      <w:r w:rsidR="00CD136B">
        <w:rPr>
          <w:rFonts w:ascii="Arial" w:eastAsia="Times New Roman" w:hAnsi="Arial" w:cs="Times New Roman"/>
          <w:color w:val="000000"/>
          <w:sz w:val="24"/>
          <w:szCs w:val="24"/>
          <w:lang w:val="es-ES" w:eastAsia="es-ES"/>
        </w:rPr>
        <w:t>l CDM Mezquitic, brindó servicios</w:t>
      </w:r>
      <w:r>
        <w:rPr>
          <w:rFonts w:ascii="Arial" w:eastAsia="Times New Roman" w:hAnsi="Arial" w:cs="Times New Roman"/>
          <w:color w:val="000000"/>
          <w:sz w:val="24"/>
          <w:szCs w:val="24"/>
          <w:lang w:val="es-ES" w:eastAsia="es-ES"/>
        </w:rPr>
        <w:t xml:space="preserve"> de asesoría en </w:t>
      </w:r>
      <w:r w:rsidR="00D23FCE">
        <w:rPr>
          <w:rFonts w:ascii="Arial" w:eastAsia="Times New Roman" w:hAnsi="Arial" w:cs="Times New Roman"/>
          <w:color w:val="000000"/>
          <w:sz w:val="24"/>
          <w:szCs w:val="24"/>
          <w:lang w:val="es-ES" w:eastAsia="es-ES"/>
        </w:rPr>
        <w:t>el</w:t>
      </w:r>
      <w:r>
        <w:rPr>
          <w:rFonts w:ascii="Arial" w:eastAsia="Times New Roman" w:hAnsi="Arial" w:cs="Times New Roman"/>
          <w:color w:val="000000"/>
          <w:sz w:val="24"/>
          <w:szCs w:val="24"/>
          <w:lang w:val="es-ES" w:eastAsia="es-ES"/>
        </w:rPr>
        <w:t xml:space="preserve"> </w:t>
      </w:r>
      <w:r w:rsidR="00D23FCE">
        <w:rPr>
          <w:rFonts w:ascii="Arial" w:eastAsia="Times New Roman" w:hAnsi="Arial" w:cs="Times New Roman"/>
          <w:color w:val="000000"/>
          <w:sz w:val="24"/>
          <w:szCs w:val="24"/>
          <w:lang w:val="es-ES" w:eastAsia="es-ES"/>
        </w:rPr>
        <w:t>área</w:t>
      </w:r>
      <w:r w:rsidR="00CD136B">
        <w:rPr>
          <w:rFonts w:ascii="Arial" w:eastAsia="Times New Roman" w:hAnsi="Arial" w:cs="Times New Roman"/>
          <w:color w:val="000000"/>
          <w:sz w:val="24"/>
          <w:szCs w:val="24"/>
          <w:lang w:val="es-ES" w:eastAsia="es-ES"/>
        </w:rPr>
        <w:t xml:space="preserve"> de</w:t>
      </w:r>
      <w:r w:rsidR="00F07669">
        <w:rPr>
          <w:rFonts w:ascii="Arial" w:eastAsia="Times New Roman" w:hAnsi="Arial" w:cs="Times New Roman"/>
          <w:color w:val="000000"/>
          <w:sz w:val="24"/>
          <w:szCs w:val="24"/>
          <w:lang w:val="es-ES" w:eastAsia="es-ES"/>
        </w:rPr>
        <w:t xml:space="preserve"> </w:t>
      </w:r>
      <w:r w:rsidR="007B0733">
        <w:rPr>
          <w:rFonts w:ascii="Arial" w:eastAsia="Times New Roman" w:hAnsi="Arial" w:cs="Times New Roman"/>
          <w:color w:val="000000"/>
          <w:sz w:val="24"/>
          <w:szCs w:val="24"/>
          <w:lang w:val="es-ES" w:eastAsia="es-ES"/>
        </w:rPr>
        <w:t>Jurídica</w:t>
      </w:r>
      <w:r w:rsidR="00CD136B">
        <w:rPr>
          <w:rFonts w:ascii="Arial" w:eastAsia="Times New Roman" w:hAnsi="Arial" w:cs="Times New Roman"/>
          <w:color w:val="000000"/>
          <w:sz w:val="24"/>
          <w:szCs w:val="24"/>
          <w:lang w:val="es-ES" w:eastAsia="es-ES"/>
        </w:rPr>
        <w:t xml:space="preserve"> </w:t>
      </w:r>
      <w:r w:rsidR="00F07669">
        <w:rPr>
          <w:rFonts w:ascii="Arial" w:eastAsia="Times New Roman" w:hAnsi="Arial" w:cs="Times New Roman"/>
          <w:color w:val="000000"/>
          <w:sz w:val="24"/>
          <w:szCs w:val="24"/>
          <w:lang w:val="es-ES" w:eastAsia="es-ES"/>
        </w:rPr>
        <w:t xml:space="preserve">y </w:t>
      </w:r>
      <w:r w:rsidR="007B0733">
        <w:rPr>
          <w:rFonts w:ascii="Arial" w:eastAsia="Times New Roman" w:hAnsi="Arial" w:cs="Times New Roman"/>
          <w:color w:val="000000"/>
          <w:sz w:val="24"/>
          <w:szCs w:val="24"/>
          <w:lang w:val="es-ES" w:eastAsia="es-ES"/>
        </w:rPr>
        <w:t>Psicológica</w:t>
      </w:r>
      <w:r>
        <w:rPr>
          <w:rFonts w:ascii="Arial" w:eastAsia="Times New Roman" w:hAnsi="Arial" w:cs="Times New Roman"/>
          <w:color w:val="000000"/>
          <w:sz w:val="24"/>
          <w:szCs w:val="24"/>
          <w:lang w:val="es-ES" w:eastAsia="es-ES"/>
        </w:rPr>
        <w:t xml:space="preserve"> a mujeres en situación de viol</w:t>
      </w:r>
      <w:r w:rsidR="00F07669">
        <w:rPr>
          <w:rFonts w:ascii="Arial" w:eastAsia="Times New Roman" w:hAnsi="Arial" w:cs="Times New Roman"/>
          <w:color w:val="000000"/>
          <w:sz w:val="24"/>
          <w:szCs w:val="24"/>
          <w:lang w:val="es-ES" w:eastAsia="es-ES"/>
        </w:rPr>
        <w:t>encia, a quienes se les canalizó</w:t>
      </w:r>
      <w:r>
        <w:rPr>
          <w:rFonts w:ascii="Arial" w:eastAsia="Times New Roman" w:hAnsi="Arial" w:cs="Times New Roman"/>
          <w:color w:val="000000"/>
          <w:sz w:val="24"/>
          <w:szCs w:val="24"/>
          <w:lang w:val="es-ES" w:eastAsia="es-ES"/>
        </w:rPr>
        <w:t xml:space="preserve"> a otras </w:t>
      </w:r>
      <w:r>
        <w:rPr>
          <w:rFonts w:ascii="Arial" w:eastAsia="Times New Roman" w:hAnsi="Arial" w:cs="Times New Roman"/>
          <w:color w:val="000000"/>
          <w:sz w:val="24"/>
          <w:szCs w:val="24"/>
          <w:lang w:val="es-ES" w:eastAsia="es-ES"/>
        </w:rPr>
        <w:lastRenderedPageBreak/>
        <w:t>dependencias para darle un seguimiento oportuno de acuerdo a la problemática diagnosticada.</w:t>
      </w:r>
      <w:r w:rsidR="00F07669">
        <w:rPr>
          <w:rFonts w:ascii="Arial" w:eastAsia="Times New Roman" w:hAnsi="Arial" w:cs="Times New Roman"/>
          <w:color w:val="000000"/>
          <w:sz w:val="24"/>
          <w:szCs w:val="24"/>
          <w:lang w:val="es-ES" w:eastAsia="es-ES"/>
        </w:rPr>
        <w:t xml:space="preserve"> </w:t>
      </w:r>
    </w:p>
    <w:p w:rsidR="00F07669" w:rsidRDefault="00F33B78" w:rsidP="00016062">
      <w:pPr>
        <w:spacing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Finalmente se trabajó en la elaboración de informes mensuale</w:t>
      </w:r>
      <w:r w:rsidR="00016062">
        <w:rPr>
          <w:rFonts w:ascii="Arial" w:eastAsia="Times New Roman" w:hAnsi="Arial" w:cs="Times New Roman"/>
          <w:color w:val="000000"/>
          <w:sz w:val="24"/>
          <w:szCs w:val="24"/>
          <w:lang w:val="es-ES" w:eastAsia="es-ES"/>
        </w:rPr>
        <w:t>s tanto individual como grupal</w:t>
      </w:r>
      <w:r w:rsidR="00F07669">
        <w:rPr>
          <w:rFonts w:ascii="Arial" w:eastAsia="Times New Roman" w:hAnsi="Arial" w:cs="Times New Roman"/>
          <w:color w:val="000000"/>
          <w:sz w:val="24"/>
          <w:szCs w:val="24"/>
          <w:lang w:val="es-ES" w:eastAsia="es-ES"/>
        </w:rPr>
        <w:t xml:space="preserve"> y actualización de estadísticas</w:t>
      </w:r>
      <w:r w:rsidR="00CD136B">
        <w:rPr>
          <w:rFonts w:ascii="Arial" w:eastAsia="Times New Roman" w:hAnsi="Arial" w:cs="Times New Roman"/>
          <w:color w:val="000000"/>
          <w:sz w:val="24"/>
          <w:szCs w:val="24"/>
          <w:lang w:val="es-ES" w:eastAsia="es-ES"/>
        </w:rPr>
        <w:t xml:space="preserve"> para su posterior entrega ante el Instituto Jalisciense de las M</w:t>
      </w:r>
      <w:r w:rsidR="00016062">
        <w:rPr>
          <w:rFonts w:ascii="Arial" w:eastAsia="Times New Roman" w:hAnsi="Arial" w:cs="Times New Roman"/>
          <w:color w:val="000000"/>
          <w:sz w:val="24"/>
          <w:szCs w:val="24"/>
          <w:lang w:val="es-ES" w:eastAsia="es-ES"/>
        </w:rPr>
        <w:t>ujeres</w:t>
      </w:r>
      <w:r w:rsidR="00915F70">
        <w:rPr>
          <w:rFonts w:ascii="Arial" w:eastAsia="Times New Roman" w:hAnsi="Arial" w:cs="Times New Roman"/>
          <w:color w:val="000000"/>
          <w:sz w:val="24"/>
          <w:szCs w:val="24"/>
          <w:lang w:val="es-ES" w:eastAsia="es-ES"/>
        </w:rPr>
        <w:t xml:space="preserve"> en la ciudad de Guadalajara</w:t>
      </w:r>
      <w:r w:rsidR="00016062">
        <w:rPr>
          <w:rFonts w:ascii="Arial" w:eastAsia="Times New Roman" w:hAnsi="Arial" w:cs="Times New Roman"/>
          <w:color w:val="000000"/>
          <w:sz w:val="24"/>
          <w:szCs w:val="24"/>
          <w:lang w:val="es-ES" w:eastAsia="es-ES"/>
        </w:rPr>
        <w:t>.</w:t>
      </w:r>
      <w:r w:rsidR="00915F70">
        <w:rPr>
          <w:rFonts w:ascii="Arial" w:eastAsia="Times New Roman" w:hAnsi="Arial" w:cs="Times New Roman"/>
          <w:color w:val="000000"/>
          <w:sz w:val="24"/>
          <w:szCs w:val="24"/>
          <w:lang w:val="es-ES" w:eastAsia="es-ES"/>
        </w:rPr>
        <w:t xml:space="preserve"> </w:t>
      </w:r>
    </w:p>
    <w:p w:rsidR="00CF231C" w:rsidRDefault="008857CC" w:rsidP="00CF231C">
      <w:pPr>
        <w:spacing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t>CUANTITATIVO</w:t>
      </w:r>
    </w:p>
    <w:p w:rsidR="00CF231C" w:rsidRDefault="00CF231C" w:rsidP="00CF231C">
      <w:pPr>
        <w:tabs>
          <w:tab w:val="left" w:pos="1770"/>
        </w:tabs>
        <w:spacing w:after="0" w:line="360" w:lineRule="auto"/>
        <w:jc w:val="both"/>
        <w:rPr>
          <w:rFonts w:ascii="Arial" w:eastAsia="Times New Roman" w:hAnsi="Arial" w:cs="Times New Roman"/>
          <w:b/>
          <w:color w:val="000000"/>
          <w:sz w:val="24"/>
          <w:szCs w:val="24"/>
          <w:lang w:val="es-ES" w:eastAsia="es-ES"/>
        </w:rPr>
      </w:pPr>
      <w:r>
        <w:rPr>
          <w:rFonts w:ascii="Arial" w:eastAsia="Times New Roman" w:hAnsi="Arial" w:cs="Times New Roman"/>
          <w:b/>
          <w:color w:val="000000"/>
          <w:sz w:val="24"/>
          <w:szCs w:val="24"/>
          <w:lang w:val="es-ES" w:eastAsia="es-ES"/>
        </w:rPr>
        <w:t>Talleres a personas con poder de decisión de la Administración Pública Municipal</w:t>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Pr="009A20A7" w:rsidRDefault="009A20A7" w:rsidP="00CF231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Con el funcionariado no se trabajó los talleres ya que manifiestan en estar ocupadas/os en sus trabajos cotidianos.  </w:t>
      </w:r>
    </w:p>
    <w:p w:rsidR="00CF231C" w:rsidRDefault="00CF231C" w:rsidP="00CF231C">
      <w:pPr>
        <w:spacing w:line="360" w:lineRule="auto"/>
        <w:jc w:val="both"/>
        <w:rPr>
          <w:rFonts w:ascii="Arial" w:hAnsi="Arial"/>
          <w:b/>
          <w:color w:val="000000"/>
          <w:sz w:val="24"/>
        </w:rPr>
      </w:pPr>
    </w:p>
    <w:p w:rsidR="00CF231C" w:rsidRDefault="00CF231C" w:rsidP="00CF231C">
      <w:pPr>
        <w:spacing w:line="360" w:lineRule="auto"/>
        <w:jc w:val="both"/>
        <w:rPr>
          <w:rFonts w:ascii="Arial" w:hAnsi="Arial"/>
          <w:b/>
          <w:color w:val="000000"/>
          <w:sz w:val="24"/>
        </w:rPr>
      </w:pPr>
      <w:r>
        <w:rPr>
          <w:rFonts w:ascii="Arial" w:hAnsi="Arial"/>
          <w:b/>
          <w:color w:val="000000"/>
          <w:sz w:val="24"/>
        </w:rPr>
        <w:t>CAPACITACIÓN A POBLACIÓN ABIERTA</w:t>
      </w:r>
    </w:p>
    <w:p w:rsidR="009A20A7" w:rsidRDefault="009A20A7" w:rsidP="009A20A7">
      <w:pPr>
        <w:spacing w:line="360" w:lineRule="auto"/>
        <w:jc w:val="both"/>
        <w:rPr>
          <w:rFonts w:ascii="Arial" w:hAnsi="Arial"/>
          <w:color w:val="000000"/>
          <w:sz w:val="24"/>
        </w:rPr>
      </w:pPr>
      <w:r w:rsidRPr="00813003">
        <w:rPr>
          <w:rFonts w:ascii="Arial" w:hAnsi="Arial"/>
          <w:color w:val="000000"/>
          <w:sz w:val="24"/>
        </w:rPr>
        <w:t xml:space="preserve">En este mes se </w:t>
      </w:r>
      <w:r>
        <w:rPr>
          <w:rFonts w:ascii="Arial" w:hAnsi="Arial"/>
          <w:color w:val="000000"/>
          <w:sz w:val="24"/>
        </w:rPr>
        <w:t>llevaron a cabo 2 talleres, capacitando a un total de 24</w:t>
      </w:r>
      <w:r w:rsidRPr="00813003">
        <w:rPr>
          <w:rFonts w:ascii="Arial" w:hAnsi="Arial"/>
          <w:color w:val="000000"/>
          <w:sz w:val="24"/>
        </w:rPr>
        <w:t xml:space="preserve"> p</w:t>
      </w:r>
      <w:r>
        <w:rPr>
          <w:rFonts w:ascii="Arial" w:hAnsi="Arial"/>
          <w:color w:val="000000"/>
          <w:sz w:val="24"/>
        </w:rPr>
        <w:t>ersonas, de las cuales 15 s</w:t>
      </w:r>
      <w:r w:rsidRPr="00813003">
        <w:rPr>
          <w:rFonts w:ascii="Arial" w:hAnsi="Arial"/>
          <w:color w:val="000000"/>
          <w:sz w:val="24"/>
        </w:rPr>
        <w:t xml:space="preserve">on mujeres y </w:t>
      </w:r>
      <w:r>
        <w:rPr>
          <w:rFonts w:ascii="Arial" w:hAnsi="Arial"/>
          <w:color w:val="000000"/>
          <w:sz w:val="24"/>
        </w:rPr>
        <w:t>9</w:t>
      </w:r>
      <w:r w:rsidRPr="00813003">
        <w:rPr>
          <w:rFonts w:ascii="Arial" w:hAnsi="Arial"/>
          <w:color w:val="000000"/>
          <w:sz w:val="24"/>
        </w:rPr>
        <w:t xml:space="preserve"> hombres.</w:t>
      </w:r>
    </w:p>
    <w:p w:rsidR="009A20A7" w:rsidRPr="004E2F1B" w:rsidRDefault="009A20A7" w:rsidP="009A20A7">
      <w:pPr>
        <w:spacing w:line="360" w:lineRule="auto"/>
        <w:jc w:val="both"/>
        <w:rPr>
          <w:rFonts w:ascii="Arial" w:hAnsi="Arial"/>
          <w:color w:val="000000"/>
          <w:sz w:val="24"/>
        </w:rPr>
      </w:pPr>
    </w:p>
    <w:p w:rsidR="009A20A7" w:rsidRDefault="009A20A7" w:rsidP="009A20A7">
      <w:pPr>
        <w:spacing w:line="360" w:lineRule="auto"/>
        <w:jc w:val="center"/>
        <w:rPr>
          <w:rFonts w:ascii="Arial" w:hAnsi="Arial"/>
          <w:color w:val="000000"/>
        </w:rPr>
      </w:pPr>
      <w:r>
        <w:rPr>
          <w:rFonts w:ascii="Arial" w:hAnsi="Arial"/>
          <w:noProof/>
          <w:color w:val="000000"/>
        </w:rPr>
        <w:lastRenderedPageBreak/>
        <w:drawing>
          <wp:inline distT="0" distB="0" distL="0" distR="0" wp14:anchorId="5FC37BAE" wp14:editId="696CB812">
            <wp:extent cx="5000625" cy="2876550"/>
            <wp:effectExtent l="0" t="0" r="9525" b="19050"/>
            <wp:docPr id="1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A20A7" w:rsidRDefault="009A20A7" w:rsidP="009A20A7">
      <w:pPr>
        <w:tabs>
          <w:tab w:val="left" w:pos="1770"/>
        </w:tabs>
        <w:spacing w:after="0" w:line="360" w:lineRule="auto"/>
        <w:jc w:val="both"/>
        <w:rPr>
          <w:rFonts w:ascii="Arial" w:eastAsia="Times New Roman" w:hAnsi="Arial" w:cs="Times New Roman"/>
          <w:color w:val="000000"/>
          <w:sz w:val="24"/>
          <w:szCs w:val="24"/>
          <w:lang w:val="es-ES" w:eastAsia="es-ES"/>
        </w:rPr>
      </w:pPr>
    </w:p>
    <w:p w:rsidR="009A20A7" w:rsidRPr="00BD2DB8" w:rsidRDefault="009A20A7" w:rsidP="009A20A7">
      <w:pPr>
        <w:tabs>
          <w:tab w:val="left" w:pos="1770"/>
        </w:tabs>
        <w:spacing w:after="0" w:line="360" w:lineRule="auto"/>
        <w:jc w:val="both"/>
        <w:rPr>
          <w:rFonts w:ascii="Arial" w:eastAsia="Times New Roman" w:hAnsi="Arial" w:cs="Times New Roman"/>
          <w:b/>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menos de 15 años: </w:t>
      </w:r>
      <w:r>
        <w:rPr>
          <w:rFonts w:ascii="Arial" w:eastAsia="Times New Roman" w:hAnsi="Arial" w:cs="Times New Roman"/>
          <w:b/>
          <w:color w:val="000000"/>
          <w:sz w:val="24"/>
          <w:szCs w:val="24"/>
          <w:lang w:val="es-ES" w:eastAsia="es-ES"/>
        </w:rPr>
        <w:t>15 personas,</w:t>
      </w:r>
      <w:r>
        <w:rPr>
          <w:rFonts w:ascii="Arial" w:eastAsia="Times New Roman" w:hAnsi="Arial" w:cs="Times New Roman"/>
          <w:color w:val="000000"/>
          <w:sz w:val="24"/>
          <w:szCs w:val="24"/>
          <w:lang w:val="es-ES" w:eastAsia="es-ES"/>
        </w:rPr>
        <w:t xml:space="preserve"> de 15 a 29 años </w:t>
      </w:r>
      <w:r>
        <w:rPr>
          <w:rFonts w:ascii="Arial" w:eastAsia="Times New Roman" w:hAnsi="Arial" w:cs="Times New Roman"/>
          <w:b/>
          <w:color w:val="000000"/>
          <w:sz w:val="24"/>
          <w:szCs w:val="24"/>
          <w:lang w:val="es-ES" w:eastAsia="es-ES"/>
        </w:rPr>
        <w:t>5</w:t>
      </w:r>
      <w:r w:rsidRPr="00BD2DB8">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b/>
          <w:color w:val="000000"/>
          <w:sz w:val="24"/>
          <w:szCs w:val="24"/>
          <w:lang w:val="es-ES" w:eastAsia="es-ES"/>
        </w:rPr>
        <w:t xml:space="preserve">, </w:t>
      </w:r>
      <w:r w:rsidRPr="008F0773">
        <w:rPr>
          <w:rFonts w:ascii="Arial" w:eastAsia="Times New Roman" w:hAnsi="Arial" w:cs="Times New Roman"/>
          <w:color w:val="000000"/>
          <w:sz w:val="24"/>
          <w:szCs w:val="24"/>
          <w:lang w:val="es-ES" w:eastAsia="es-ES"/>
        </w:rPr>
        <w:t>de 30 a 44 años:</w:t>
      </w:r>
      <w:r>
        <w:rPr>
          <w:rFonts w:ascii="Arial" w:eastAsia="Times New Roman" w:hAnsi="Arial" w:cs="Times New Roman"/>
          <w:b/>
          <w:color w:val="000000"/>
          <w:sz w:val="24"/>
          <w:szCs w:val="24"/>
          <w:lang w:val="es-ES" w:eastAsia="es-ES"/>
        </w:rPr>
        <w:t xml:space="preserve"> 2 personas, </w:t>
      </w:r>
      <w:r w:rsidRPr="008F0773">
        <w:rPr>
          <w:rFonts w:ascii="Arial" w:eastAsia="Times New Roman" w:hAnsi="Arial" w:cs="Times New Roman"/>
          <w:color w:val="000000"/>
          <w:sz w:val="24"/>
          <w:szCs w:val="24"/>
          <w:lang w:val="es-ES" w:eastAsia="es-ES"/>
        </w:rPr>
        <w:t>de 45 a 59 años:</w:t>
      </w:r>
      <w:r>
        <w:rPr>
          <w:rFonts w:ascii="Arial" w:eastAsia="Times New Roman" w:hAnsi="Arial" w:cs="Times New Roman"/>
          <w:b/>
          <w:color w:val="000000"/>
          <w:sz w:val="24"/>
          <w:szCs w:val="24"/>
          <w:lang w:val="es-ES" w:eastAsia="es-ES"/>
        </w:rPr>
        <w:t xml:space="preserve"> 1 persona </w:t>
      </w:r>
      <w:r w:rsidRPr="00A63C10">
        <w:rPr>
          <w:rFonts w:ascii="Arial" w:eastAsia="Times New Roman" w:hAnsi="Arial" w:cs="Times New Roman"/>
          <w:color w:val="000000"/>
          <w:sz w:val="24"/>
          <w:szCs w:val="24"/>
          <w:lang w:val="es-ES" w:eastAsia="es-ES"/>
        </w:rPr>
        <w:t xml:space="preserve">y de 60 </w:t>
      </w:r>
      <w:r>
        <w:rPr>
          <w:rFonts w:ascii="Arial" w:eastAsia="Times New Roman" w:hAnsi="Arial" w:cs="Times New Roman"/>
          <w:color w:val="000000"/>
          <w:sz w:val="24"/>
          <w:szCs w:val="24"/>
          <w:lang w:val="es-ES" w:eastAsia="es-ES"/>
        </w:rPr>
        <w:t xml:space="preserve">años </w:t>
      </w:r>
      <w:r w:rsidRPr="00A63C10">
        <w:rPr>
          <w:rFonts w:ascii="Arial" w:eastAsia="Times New Roman" w:hAnsi="Arial" w:cs="Times New Roman"/>
          <w:color w:val="000000"/>
          <w:sz w:val="24"/>
          <w:szCs w:val="24"/>
          <w:lang w:val="es-ES" w:eastAsia="es-ES"/>
        </w:rPr>
        <w:t>y más</w:t>
      </w:r>
      <w:r>
        <w:rPr>
          <w:rFonts w:ascii="Arial" w:eastAsia="Times New Roman" w:hAnsi="Arial" w:cs="Times New Roman"/>
          <w:b/>
          <w:color w:val="000000"/>
          <w:sz w:val="24"/>
          <w:szCs w:val="24"/>
          <w:lang w:val="es-ES" w:eastAsia="es-ES"/>
        </w:rPr>
        <w:t xml:space="preserve"> 1 persona</w:t>
      </w:r>
      <w:r w:rsidRPr="00BD2DB8">
        <w:rPr>
          <w:rFonts w:ascii="Arial" w:eastAsia="Times New Roman" w:hAnsi="Arial" w:cs="Times New Roman"/>
          <w:b/>
          <w:color w:val="000000"/>
          <w:sz w:val="24"/>
          <w:szCs w:val="24"/>
          <w:lang w:val="es-ES" w:eastAsia="es-ES"/>
        </w:rPr>
        <w:t xml:space="preserve">. </w:t>
      </w:r>
    </w:p>
    <w:p w:rsidR="009A20A7" w:rsidRDefault="009A20A7" w:rsidP="009A20A7">
      <w:pPr>
        <w:tabs>
          <w:tab w:val="left" w:pos="1770"/>
        </w:tabs>
        <w:spacing w:after="0" w:line="360" w:lineRule="auto"/>
        <w:jc w:val="both"/>
        <w:rPr>
          <w:rFonts w:ascii="Arial" w:eastAsia="Times New Roman" w:hAnsi="Arial" w:cs="Times New Roman"/>
          <w:color w:val="000000"/>
          <w:sz w:val="24"/>
          <w:szCs w:val="24"/>
          <w:lang w:val="es-ES" w:eastAsia="es-ES"/>
        </w:rPr>
      </w:pPr>
    </w:p>
    <w:p w:rsidR="009A20A7" w:rsidRDefault="009A20A7" w:rsidP="009A20A7">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0ADE8008" wp14:editId="14E25F31">
            <wp:extent cx="5210175" cy="2819400"/>
            <wp:effectExtent l="0" t="0" r="9525" b="19050"/>
            <wp:docPr id="1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20A7" w:rsidRDefault="009A20A7" w:rsidP="009A20A7">
      <w:pPr>
        <w:tabs>
          <w:tab w:val="left" w:pos="1770"/>
        </w:tabs>
        <w:spacing w:after="0" w:line="360" w:lineRule="auto"/>
        <w:jc w:val="both"/>
        <w:rPr>
          <w:rFonts w:ascii="Arial" w:hAnsi="Arial"/>
          <w:b/>
          <w:sz w:val="24"/>
        </w:rPr>
      </w:pPr>
      <w:r w:rsidRPr="00467D38">
        <w:rPr>
          <w:rFonts w:ascii="Arial" w:hAnsi="Arial"/>
          <w:b/>
          <w:sz w:val="24"/>
        </w:rPr>
        <w:lastRenderedPageBreak/>
        <w:t>ESTADÍSTICA POR TIPO DE TALLER IMPARTIDO DESAGRAGADA</w:t>
      </w:r>
      <w:r>
        <w:rPr>
          <w:rFonts w:ascii="Arial" w:hAnsi="Arial"/>
          <w:b/>
          <w:sz w:val="24"/>
        </w:rPr>
        <w:t xml:space="preserve"> POBLACIÓN ABIERTA:</w:t>
      </w:r>
    </w:p>
    <w:p w:rsidR="009A20A7" w:rsidRPr="004C33D4" w:rsidRDefault="009A20A7" w:rsidP="009A20A7">
      <w:pPr>
        <w:tabs>
          <w:tab w:val="left" w:pos="1770"/>
        </w:tabs>
        <w:spacing w:after="0" w:line="360" w:lineRule="auto"/>
        <w:jc w:val="both"/>
        <w:rPr>
          <w:rFonts w:ascii="Arial" w:hAnsi="Arial" w:cs="Arial"/>
        </w:rPr>
      </w:pPr>
      <w:r>
        <w:rPr>
          <w:rFonts w:ascii="Arial" w:hAnsi="Arial"/>
          <w:sz w:val="24"/>
        </w:rPr>
        <w:t xml:space="preserve">Taller con la población de la comunidad de Nostic. </w:t>
      </w:r>
      <w:r>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 xml:space="preserve">7 </w:t>
      </w:r>
      <w:r w:rsidRPr="00EC5A35">
        <w:rPr>
          <w:rFonts w:ascii="Arial" w:eastAsia="Times New Roman" w:hAnsi="Arial" w:cs="Times New Roman"/>
          <w:b/>
          <w:color w:val="000000"/>
          <w:sz w:val="24"/>
          <w:szCs w:val="24"/>
          <w:lang w:val="es-ES" w:eastAsia="es-ES"/>
        </w:rPr>
        <w:t>personas</w:t>
      </w:r>
      <w:r>
        <w:rPr>
          <w:rFonts w:ascii="Arial" w:eastAsia="Times New Roman" w:hAnsi="Arial" w:cs="Times New Roman"/>
          <w:color w:val="000000"/>
          <w:sz w:val="24"/>
          <w:szCs w:val="24"/>
          <w:lang w:val="es-ES" w:eastAsia="es-ES"/>
        </w:rPr>
        <w:t xml:space="preserve">, de las cuales 6 son mujeres y 1 hombre. </w:t>
      </w:r>
      <w:r>
        <w:rPr>
          <w:rFonts w:ascii="Arial" w:hAnsi="Arial"/>
          <w:b/>
          <w:sz w:val="24"/>
        </w:rPr>
        <w:t>T</w:t>
      </w:r>
      <w:r w:rsidRPr="00433A82">
        <w:rPr>
          <w:rFonts w:ascii="Arial" w:hAnsi="Arial"/>
          <w:b/>
          <w:sz w:val="24"/>
        </w:rPr>
        <w:t>ema:</w:t>
      </w:r>
      <w:r>
        <w:rPr>
          <w:rFonts w:ascii="Arial" w:hAnsi="Arial"/>
          <w:sz w:val="24"/>
        </w:rPr>
        <w:t xml:space="preserve"> taller de sensibilización de Género, mujeres y hombres ¿Qué tal diferentes somos?   </w:t>
      </w:r>
    </w:p>
    <w:p w:rsidR="009A20A7" w:rsidRDefault="009A20A7" w:rsidP="009A20A7">
      <w:pPr>
        <w:spacing w:line="360" w:lineRule="auto"/>
        <w:jc w:val="center"/>
        <w:rPr>
          <w:rFonts w:ascii="Arial" w:hAnsi="Arial"/>
          <w:color w:val="000000"/>
        </w:rPr>
      </w:pPr>
      <w:r>
        <w:rPr>
          <w:rFonts w:ascii="Arial" w:hAnsi="Arial"/>
          <w:noProof/>
          <w:color w:val="000000"/>
        </w:rPr>
        <w:drawing>
          <wp:inline distT="0" distB="0" distL="0" distR="0" wp14:anchorId="4B6A9BB0" wp14:editId="53E39451">
            <wp:extent cx="4448175" cy="2419350"/>
            <wp:effectExtent l="0" t="0" r="9525" b="19050"/>
            <wp:docPr id="16"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20A7" w:rsidRDefault="009A20A7" w:rsidP="009A20A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de 15 a 29 años: </w:t>
      </w:r>
      <w:r>
        <w:rPr>
          <w:rFonts w:ascii="Arial" w:eastAsia="Times New Roman" w:hAnsi="Arial" w:cs="Times New Roman"/>
          <w:b/>
          <w:color w:val="000000"/>
          <w:sz w:val="24"/>
          <w:szCs w:val="24"/>
          <w:lang w:val="es-ES" w:eastAsia="es-ES"/>
        </w:rPr>
        <w:t xml:space="preserve">3 personas, </w:t>
      </w:r>
      <w:r w:rsidRPr="004C33D4">
        <w:rPr>
          <w:rFonts w:ascii="Arial" w:eastAsia="Times New Roman" w:hAnsi="Arial" w:cs="Times New Roman"/>
          <w:color w:val="000000"/>
          <w:sz w:val="24"/>
          <w:szCs w:val="24"/>
          <w:lang w:val="es-ES" w:eastAsia="es-ES"/>
        </w:rPr>
        <w:t>de 30 a 44 años:</w:t>
      </w:r>
      <w:r>
        <w:rPr>
          <w:rFonts w:ascii="Arial" w:eastAsia="Times New Roman" w:hAnsi="Arial" w:cs="Times New Roman"/>
          <w:b/>
          <w:color w:val="000000"/>
          <w:sz w:val="24"/>
          <w:szCs w:val="24"/>
          <w:lang w:val="es-ES" w:eastAsia="es-ES"/>
        </w:rPr>
        <w:t xml:space="preserve"> 2 personas, </w:t>
      </w:r>
      <w:r w:rsidRPr="004C33D4">
        <w:rPr>
          <w:rFonts w:ascii="Arial" w:eastAsia="Times New Roman" w:hAnsi="Arial" w:cs="Times New Roman"/>
          <w:color w:val="000000"/>
          <w:sz w:val="24"/>
          <w:szCs w:val="24"/>
          <w:lang w:val="es-ES" w:eastAsia="es-ES"/>
        </w:rPr>
        <w:t>de 45 a 59 años:</w:t>
      </w:r>
      <w:r>
        <w:rPr>
          <w:rFonts w:ascii="Arial" w:eastAsia="Times New Roman" w:hAnsi="Arial" w:cs="Times New Roman"/>
          <w:b/>
          <w:color w:val="000000"/>
          <w:sz w:val="24"/>
          <w:szCs w:val="24"/>
          <w:lang w:val="es-ES" w:eastAsia="es-ES"/>
        </w:rPr>
        <w:t xml:space="preserve"> 1 persona </w:t>
      </w:r>
      <w:r w:rsidRPr="004C33D4">
        <w:rPr>
          <w:rFonts w:ascii="Arial" w:eastAsia="Times New Roman" w:hAnsi="Arial" w:cs="Times New Roman"/>
          <w:color w:val="000000"/>
          <w:sz w:val="24"/>
          <w:szCs w:val="24"/>
          <w:lang w:val="es-ES" w:eastAsia="es-ES"/>
        </w:rPr>
        <w:t>y de 60 años y más:</w:t>
      </w:r>
      <w:r>
        <w:rPr>
          <w:rFonts w:ascii="Arial" w:eastAsia="Times New Roman" w:hAnsi="Arial" w:cs="Times New Roman"/>
          <w:b/>
          <w:color w:val="000000"/>
          <w:sz w:val="24"/>
          <w:szCs w:val="24"/>
          <w:lang w:val="es-ES" w:eastAsia="es-ES"/>
        </w:rPr>
        <w:t xml:space="preserve"> 1 persona</w:t>
      </w:r>
      <w:r>
        <w:rPr>
          <w:rFonts w:ascii="Arial" w:eastAsia="Times New Roman" w:hAnsi="Arial" w:cs="Times New Roman"/>
          <w:color w:val="000000"/>
          <w:sz w:val="24"/>
          <w:szCs w:val="24"/>
          <w:lang w:val="es-ES" w:eastAsia="es-ES"/>
        </w:rPr>
        <w:t xml:space="preserve">.  </w:t>
      </w:r>
    </w:p>
    <w:p w:rsidR="009A20A7" w:rsidRDefault="009A20A7" w:rsidP="009A20A7">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5CBDB80C" wp14:editId="754A8F47">
            <wp:extent cx="4486275" cy="2495550"/>
            <wp:effectExtent l="0" t="0" r="9525" b="19050"/>
            <wp:docPr id="28"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20A7" w:rsidRPr="007E4E1F" w:rsidRDefault="009A20A7" w:rsidP="009A20A7">
      <w:pPr>
        <w:tabs>
          <w:tab w:val="left" w:pos="1770"/>
        </w:tabs>
        <w:spacing w:after="0" w:line="360" w:lineRule="auto"/>
        <w:jc w:val="both"/>
        <w:rPr>
          <w:rFonts w:ascii="Arial" w:hAnsi="Arial" w:cs="Arial"/>
        </w:rPr>
      </w:pPr>
      <w:r>
        <w:rPr>
          <w:rFonts w:ascii="Arial" w:hAnsi="Arial"/>
          <w:sz w:val="24"/>
        </w:rPr>
        <w:lastRenderedPageBreak/>
        <w:t xml:space="preserve">Taller con las/os alumnas/os de la Escuela Telesecundaria de Mortero. </w:t>
      </w:r>
      <w:r>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17</w:t>
      </w:r>
      <w:r w:rsidRPr="00EC5A35">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color w:val="000000"/>
          <w:sz w:val="24"/>
          <w:szCs w:val="24"/>
          <w:lang w:val="es-ES" w:eastAsia="es-ES"/>
        </w:rPr>
        <w:t xml:space="preserve">, de las cuales 9 son mujeres y 8 hombres. </w:t>
      </w:r>
      <w:r>
        <w:rPr>
          <w:rFonts w:ascii="Arial" w:hAnsi="Arial"/>
          <w:b/>
          <w:sz w:val="24"/>
        </w:rPr>
        <w:t>T</w:t>
      </w:r>
      <w:r w:rsidRPr="00433A82">
        <w:rPr>
          <w:rFonts w:ascii="Arial" w:hAnsi="Arial"/>
          <w:b/>
          <w:sz w:val="24"/>
        </w:rPr>
        <w:t>ema:</w:t>
      </w:r>
      <w:r>
        <w:rPr>
          <w:rFonts w:ascii="Arial" w:hAnsi="Arial"/>
          <w:sz w:val="24"/>
        </w:rPr>
        <w:t xml:space="preserve"> taller de sensibilización de Género, mujeres y hombres ¿Qué tan diferentes somos?   </w:t>
      </w:r>
    </w:p>
    <w:p w:rsidR="009A20A7" w:rsidRDefault="009A20A7" w:rsidP="009A20A7">
      <w:pPr>
        <w:spacing w:line="360" w:lineRule="auto"/>
        <w:jc w:val="center"/>
        <w:rPr>
          <w:rFonts w:ascii="Arial" w:hAnsi="Arial"/>
          <w:color w:val="000000"/>
        </w:rPr>
      </w:pPr>
      <w:r>
        <w:rPr>
          <w:rFonts w:ascii="Arial" w:hAnsi="Arial"/>
          <w:noProof/>
          <w:color w:val="000000"/>
        </w:rPr>
        <w:drawing>
          <wp:inline distT="0" distB="0" distL="0" distR="0" wp14:anchorId="48679EB6" wp14:editId="4A409923">
            <wp:extent cx="4448175" cy="2419350"/>
            <wp:effectExtent l="0" t="0" r="9525" b="19050"/>
            <wp:docPr id="29"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A20A7" w:rsidRDefault="009A20A7" w:rsidP="009A20A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menores de 15 años: </w:t>
      </w:r>
      <w:r w:rsidRPr="00BF59A2">
        <w:rPr>
          <w:rFonts w:ascii="Arial" w:eastAsia="Times New Roman" w:hAnsi="Arial" w:cs="Times New Roman"/>
          <w:b/>
          <w:color w:val="000000"/>
          <w:sz w:val="24"/>
          <w:szCs w:val="24"/>
          <w:lang w:val="es-ES" w:eastAsia="es-ES"/>
        </w:rPr>
        <w:t>15 personas</w:t>
      </w:r>
      <w:r>
        <w:rPr>
          <w:rFonts w:ascii="Arial" w:eastAsia="Times New Roman" w:hAnsi="Arial" w:cs="Times New Roman"/>
          <w:color w:val="000000"/>
          <w:sz w:val="24"/>
          <w:szCs w:val="24"/>
          <w:lang w:val="es-ES" w:eastAsia="es-ES"/>
        </w:rPr>
        <w:t xml:space="preserve"> y de 15 a 29 años: </w:t>
      </w:r>
      <w:r>
        <w:rPr>
          <w:rFonts w:ascii="Arial" w:eastAsia="Times New Roman" w:hAnsi="Arial" w:cs="Times New Roman"/>
          <w:b/>
          <w:color w:val="000000"/>
          <w:sz w:val="24"/>
          <w:szCs w:val="24"/>
          <w:lang w:val="es-ES" w:eastAsia="es-ES"/>
        </w:rPr>
        <w:t>2 personas</w:t>
      </w:r>
      <w:r>
        <w:rPr>
          <w:rFonts w:ascii="Arial" w:eastAsia="Times New Roman" w:hAnsi="Arial" w:cs="Times New Roman"/>
          <w:color w:val="000000"/>
          <w:sz w:val="24"/>
          <w:szCs w:val="24"/>
          <w:lang w:val="es-ES" w:eastAsia="es-ES"/>
        </w:rPr>
        <w:t xml:space="preserve">. </w:t>
      </w:r>
    </w:p>
    <w:p w:rsidR="009A20A7" w:rsidRDefault="009A20A7" w:rsidP="009A20A7">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2B3FB892" wp14:editId="46987F3F">
            <wp:extent cx="4486275" cy="2495550"/>
            <wp:effectExtent l="19050" t="0" r="9525" b="0"/>
            <wp:docPr id="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A20A7" w:rsidRDefault="009A20A7" w:rsidP="009A20A7">
      <w:pPr>
        <w:spacing w:line="360" w:lineRule="auto"/>
        <w:jc w:val="both"/>
        <w:rPr>
          <w:rFonts w:ascii="Arial" w:hAnsi="Arial"/>
          <w:sz w:val="24"/>
        </w:rPr>
      </w:pPr>
    </w:p>
    <w:p w:rsidR="009A20A7" w:rsidRDefault="009A20A7" w:rsidP="00CF231C">
      <w:pPr>
        <w:spacing w:line="360" w:lineRule="auto"/>
        <w:jc w:val="both"/>
        <w:rPr>
          <w:rFonts w:ascii="Arial" w:hAnsi="Arial"/>
          <w:b/>
          <w:color w:val="000000"/>
          <w:sz w:val="24"/>
        </w:rPr>
      </w:pPr>
    </w:p>
    <w:p w:rsidR="009A20A7" w:rsidRPr="009A20A7" w:rsidRDefault="003A224E" w:rsidP="00CF231C">
      <w:pPr>
        <w:tabs>
          <w:tab w:val="left" w:pos="1770"/>
        </w:tabs>
        <w:spacing w:line="360" w:lineRule="auto"/>
        <w:jc w:val="both"/>
        <w:rPr>
          <w:rFonts w:ascii="Arial" w:hAnsi="Arial"/>
          <w:b/>
          <w:color w:val="000000"/>
          <w:sz w:val="24"/>
        </w:rPr>
      </w:pPr>
      <w:r w:rsidRPr="004E2F1B">
        <w:rPr>
          <w:rFonts w:ascii="Arial" w:hAnsi="Arial"/>
          <w:b/>
          <w:color w:val="000000"/>
          <w:sz w:val="24"/>
        </w:rPr>
        <w:lastRenderedPageBreak/>
        <w:t>ATENCIONES MEZQUITIC</w:t>
      </w:r>
    </w:p>
    <w:p w:rsidR="003A224E" w:rsidRDefault="003A224E" w:rsidP="003A224E">
      <w:pPr>
        <w:spacing w:line="360" w:lineRule="auto"/>
        <w:jc w:val="both"/>
        <w:rPr>
          <w:rFonts w:ascii="Arial" w:hAnsi="Arial" w:cs="Arial"/>
          <w:sz w:val="24"/>
        </w:rPr>
      </w:pPr>
      <w:r w:rsidRPr="004E2F1B">
        <w:rPr>
          <w:rFonts w:ascii="Arial" w:hAnsi="Arial" w:cs="Arial"/>
          <w:sz w:val="24"/>
        </w:rPr>
        <w:t xml:space="preserve">Referente a las atenciones, en </w:t>
      </w:r>
      <w:r w:rsidR="000762C7">
        <w:rPr>
          <w:rFonts w:ascii="Arial" w:hAnsi="Arial" w:cs="Arial"/>
          <w:sz w:val="24"/>
        </w:rPr>
        <w:t xml:space="preserve">el mes de </w:t>
      </w:r>
      <w:r w:rsidR="009A20A7">
        <w:rPr>
          <w:rFonts w:ascii="Arial" w:hAnsi="Arial" w:cs="Arial"/>
          <w:sz w:val="24"/>
        </w:rPr>
        <w:t>enero</w:t>
      </w:r>
      <w:r>
        <w:rPr>
          <w:rFonts w:ascii="Arial" w:hAnsi="Arial" w:cs="Arial"/>
          <w:sz w:val="24"/>
        </w:rPr>
        <w:t xml:space="preserve"> se aten</w:t>
      </w:r>
      <w:r w:rsidR="009A20A7">
        <w:rPr>
          <w:rFonts w:ascii="Arial" w:hAnsi="Arial" w:cs="Arial"/>
          <w:sz w:val="24"/>
        </w:rPr>
        <w:t>dieron a 5 mujeres y se dieron 8</w:t>
      </w:r>
      <w:r>
        <w:rPr>
          <w:rFonts w:ascii="Arial" w:hAnsi="Arial" w:cs="Arial"/>
          <w:sz w:val="24"/>
        </w:rPr>
        <w:t xml:space="preserve"> asesorías: </w:t>
      </w:r>
      <w:r w:rsidR="009A20A7">
        <w:rPr>
          <w:rFonts w:ascii="Arial" w:hAnsi="Arial" w:cs="Arial"/>
          <w:sz w:val="24"/>
        </w:rPr>
        <w:t>3</w:t>
      </w:r>
      <w:r>
        <w:rPr>
          <w:rFonts w:ascii="Arial" w:hAnsi="Arial" w:cs="Arial"/>
          <w:sz w:val="24"/>
        </w:rPr>
        <w:t xml:space="preserve"> jurídica</w:t>
      </w:r>
      <w:r w:rsidR="000762C7">
        <w:rPr>
          <w:rFonts w:ascii="Arial" w:hAnsi="Arial" w:cs="Arial"/>
          <w:sz w:val="24"/>
        </w:rPr>
        <w:t>s y</w:t>
      </w:r>
      <w:r w:rsidR="009A20A7">
        <w:rPr>
          <w:rFonts w:ascii="Arial" w:hAnsi="Arial" w:cs="Arial"/>
          <w:sz w:val="24"/>
        </w:rPr>
        <w:t xml:space="preserve"> 5</w:t>
      </w:r>
      <w:r w:rsidRPr="004E2F1B">
        <w:rPr>
          <w:rFonts w:ascii="Arial" w:hAnsi="Arial" w:cs="Arial"/>
          <w:sz w:val="24"/>
        </w:rPr>
        <w:t xml:space="preserve"> psicológicas.</w:t>
      </w:r>
      <w:r w:rsidR="000762C7">
        <w:rPr>
          <w:rFonts w:ascii="Arial" w:hAnsi="Arial" w:cs="Arial"/>
          <w:sz w:val="24"/>
        </w:rPr>
        <w:t xml:space="preserve"> </w:t>
      </w:r>
    </w:p>
    <w:p w:rsidR="003A224E" w:rsidRPr="004E2F1B" w:rsidRDefault="003A224E" w:rsidP="003A224E">
      <w:pPr>
        <w:spacing w:line="360" w:lineRule="auto"/>
        <w:jc w:val="center"/>
        <w:rPr>
          <w:rFonts w:ascii="Arial" w:hAnsi="Arial" w:cs="Arial"/>
          <w:sz w:val="24"/>
        </w:rPr>
      </w:pPr>
      <w:r>
        <w:rPr>
          <w:rFonts w:ascii="Arial" w:hAnsi="Arial"/>
          <w:noProof/>
          <w:color w:val="000000"/>
        </w:rPr>
        <w:drawing>
          <wp:inline distT="0" distB="0" distL="0" distR="0">
            <wp:extent cx="4741049" cy="2650992"/>
            <wp:effectExtent l="0" t="0" r="2540" b="16510"/>
            <wp:docPr id="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A224E" w:rsidRDefault="003A224E" w:rsidP="003A224E">
      <w:pPr>
        <w:spacing w:line="360" w:lineRule="auto"/>
        <w:jc w:val="both"/>
        <w:rPr>
          <w:rFonts w:ascii="Arial" w:hAnsi="Arial" w:cs="Arial"/>
        </w:rPr>
      </w:pPr>
    </w:p>
    <w:p w:rsidR="003A224E" w:rsidRDefault="003A224E" w:rsidP="003A224E">
      <w:pPr>
        <w:spacing w:line="360" w:lineRule="auto"/>
        <w:jc w:val="center"/>
        <w:rPr>
          <w:rFonts w:ascii="Arial" w:hAnsi="Arial" w:cs="Arial"/>
        </w:rPr>
      </w:pPr>
      <w:r w:rsidRPr="001D5EB6">
        <w:rPr>
          <w:rFonts w:ascii="Arial" w:hAnsi="Arial" w:cs="Arial"/>
          <w:noProof/>
        </w:rPr>
        <w:drawing>
          <wp:inline distT="0" distB="0" distL="0" distR="0">
            <wp:extent cx="4940833" cy="2881512"/>
            <wp:effectExtent l="0" t="0" r="12700" b="1460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762C7" w:rsidRDefault="003A224E" w:rsidP="000762C7">
      <w:pPr>
        <w:tabs>
          <w:tab w:val="left" w:pos="1770"/>
        </w:tabs>
        <w:spacing w:line="360" w:lineRule="auto"/>
        <w:jc w:val="both"/>
        <w:rPr>
          <w:rFonts w:ascii="Arial" w:hAnsi="Arial"/>
          <w:color w:val="000000"/>
          <w:sz w:val="24"/>
        </w:rPr>
      </w:pPr>
      <w:r w:rsidRPr="003E4ECA">
        <w:rPr>
          <w:rFonts w:ascii="Arial" w:hAnsi="Arial"/>
          <w:color w:val="000000"/>
          <w:sz w:val="24"/>
        </w:rPr>
        <w:lastRenderedPageBreak/>
        <w:t>Las actividades de las usuarias fueron las siguientes:</w:t>
      </w:r>
    </w:p>
    <w:p w:rsidR="000762C7" w:rsidRPr="00594549" w:rsidRDefault="000762C7" w:rsidP="000762C7">
      <w:pPr>
        <w:tabs>
          <w:tab w:val="left" w:pos="1770"/>
        </w:tabs>
        <w:spacing w:line="360" w:lineRule="auto"/>
        <w:jc w:val="center"/>
        <w:rPr>
          <w:rFonts w:ascii="Arial" w:hAnsi="Arial"/>
          <w:color w:val="000000"/>
          <w:sz w:val="24"/>
        </w:rPr>
      </w:pPr>
      <w:r>
        <w:rPr>
          <w:rFonts w:ascii="Arial" w:hAnsi="Arial"/>
          <w:noProof/>
          <w:color w:val="000000"/>
        </w:rPr>
        <w:drawing>
          <wp:inline distT="0" distB="0" distL="0" distR="0" wp14:anchorId="29CDC6E3" wp14:editId="5653ADF5">
            <wp:extent cx="5732289" cy="2904564"/>
            <wp:effectExtent l="0" t="0" r="1905" b="1016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762C7" w:rsidRPr="003E4ECA" w:rsidRDefault="000762C7" w:rsidP="000762C7">
      <w:pPr>
        <w:spacing w:line="360" w:lineRule="auto"/>
        <w:jc w:val="both"/>
        <w:rPr>
          <w:rFonts w:ascii="Arial" w:hAnsi="Arial" w:cs="Arial"/>
          <w:sz w:val="24"/>
        </w:rPr>
      </w:pPr>
      <w:r>
        <w:rPr>
          <w:rFonts w:ascii="Arial" w:hAnsi="Arial" w:cs="Arial"/>
          <w:sz w:val="24"/>
        </w:rPr>
        <w:t>L</w:t>
      </w:r>
      <w:r w:rsidRPr="003E4ECA">
        <w:rPr>
          <w:rFonts w:ascii="Arial" w:hAnsi="Arial" w:cs="Arial"/>
          <w:sz w:val="24"/>
        </w:rPr>
        <w:t xml:space="preserve">a localidad </w:t>
      </w:r>
      <w:r>
        <w:rPr>
          <w:rFonts w:ascii="Arial" w:hAnsi="Arial" w:cs="Arial"/>
          <w:sz w:val="24"/>
        </w:rPr>
        <w:t xml:space="preserve">de procedencia </w:t>
      </w:r>
      <w:r w:rsidRPr="003E4ECA">
        <w:rPr>
          <w:rFonts w:ascii="Arial" w:hAnsi="Arial" w:cs="Arial"/>
          <w:sz w:val="24"/>
        </w:rPr>
        <w:t>de las usuarias se muestra a continuación:</w:t>
      </w:r>
    </w:p>
    <w:p w:rsidR="000762C7" w:rsidRDefault="000762C7" w:rsidP="000762C7">
      <w:pPr>
        <w:tabs>
          <w:tab w:val="left" w:pos="1770"/>
        </w:tabs>
        <w:spacing w:line="360" w:lineRule="auto"/>
        <w:jc w:val="center"/>
        <w:rPr>
          <w:rFonts w:ascii="Arial" w:hAnsi="Arial"/>
          <w:color w:val="000000"/>
        </w:rPr>
      </w:pPr>
      <w:r w:rsidRPr="001D5EB6">
        <w:rPr>
          <w:rFonts w:ascii="Arial" w:hAnsi="Arial"/>
          <w:noProof/>
          <w:color w:val="000000"/>
        </w:rPr>
        <w:drawing>
          <wp:inline distT="0" distB="0" distL="0" distR="0" wp14:anchorId="63457262" wp14:editId="7A420665">
            <wp:extent cx="5570925" cy="3012141"/>
            <wp:effectExtent l="0" t="0" r="10795" b="17145"/>
            <wp:docPr id="13"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762C7" w:rsidRDefault="000762C7" w:rsidP="000762C7">
      <w:pPr>
        <w:spacing w:line="360" w:lineRule="auto"/>
        <w:jc w:val="both"/>
        <w:rPr>
          <w:rFonts w:ascii="Arial" w:hAnsi="Arial" w:cs="Arial"/>
          <w:sz w:val="24"/>
        </w:rPr>
      </w:pPr>
    </w:p>
    <w:p w:rsidR="000762C7" w:rsidRDefault="000762C7" w:rsidP="000762C7">
      <w:pPr>
        <w:spacing w:line="360" w:lineRule="auto"/>
        <w:jc w:val="both"/>
        <w:rPr>
          <w:rFonts w:ascii="Arial" w:hAnsi="Arial" w:cs="Arial"/>
          <w:sz w:val="24"/>
        </w:rPr>
      </w:pPr>
      <w:r w:rsidRPr="003E4ECA">
        <w:rPr>
          <w:rFonts w:ascii="Arial" w:hAnsi="Arial" w:cs="Arial"/>
          <w:sz w:val="24"/>
        </w:rPr>
        <w:lastRenderedPageBreak/>
        <w:t>El estado civil de las usuarias</w:t>
      </w:r>
      <w:r>
        <w:rPr>
          <w:rFonts w:ascii="Arial" w:hAnsi="Arial" w:cs="Arial"/>
          <w:sz w:val="24"/>
        </w:rPr>
        <w:t xml:space="preserve"> atendidas es:</w:t>
      </w:r>
    </w:p>
    <w:p w:rsidR="000762C7" w:rsidRDefault="000762C7" w:rsidP="000762C7">
      <w:pPr>
        <w:spacing w:line="360" w:lineRule="auto"/>
        <w:jc w:val="center"/>
        <w:rPr>
          <w:rFonts w:ascii="Arial" w:hAnsi="Arial" w:cs="Arial"/>
          <w:sz w:val="24"/>
        </w:rPr>
      </w:pPr>
      <w:r>
        <w:rPr>
          <w:rFonts w:ascii="Arial" w:hAnsi="Arial"/>
          <w:noProof/>
          <w:color w:val="000000"/>
        </w:rPr>
        <w:drawing>
          <wp:inline distT="0" distB="0" distL="0" distR="0" wp14:anchorId="51FC4701" wp14:editId="563CC402">
            <wp:extent cx="5517136" cy="3019826"/>
            <wp:effectExtent l="0" t="0" r="7620" b="9525"/>
            <wp:docPr id="3"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762C7" w:rsidRDefault="000762C7" w:rsidP="000762C7">
      <w:pPr>
        <w:spacing w:line="360" w:lineRule="auto"/>
        <w:jc w:val="both"/>
        <w:rPr>
          <w:rFonts w:ascii="Arial" w:hAnsi="Arial" w:cs="Arial"/>
          <w:sz w:val="24"/>
        </w:rPr>
      </w:pPr>
      <w:r w:rsidRPr="008A6E6D">
        <w:rPr>
          <w:rFonts w:ascii="Arial" w:hAnsi="Arial" w:cs="Arial"/>
          <w:sz w:val="24"/>
        </w:rPr>
        <w:t>Sus edades oscilaron dentro de los siguientes rangos:</w:t>
      </w:r>
    </w:p>
    <w:p w:rsidR="000762C7" w:rsidRPr="008A6E6D" w:rsidRDefault="000762C7" w:rsidP="000762C7">
      <w:pPr>
        <w:spacing w:line="360" w:lineRule="auto"/>
        <w:jc w:val="center"/>
        <w:rPr>
          <w:rFonts w:ascii="Arial" w:hAnsi="Arial" w:cs="Arial"/>
          <w:sz w:val="24"/>
        </w:rPr>
      </w:pPr>
      <w:r>
        <w:rPr>
          <w:rFonts w:ascii="Arial" w:hAnsi="Arial"/>
          <w:noProof/>
          <w:color w:val="000000"/>
        </w:rPr>
        <w:drawing>
          <wp:inline distT="0" distB="0" distL="0" distR="0" wp14:anchorId="743867FA" wp14:editId="32F9C733">
            <wp:extent cx="5386507" cy="3027510"/>
            <wp:effectExtent l="0" t="0" r="5080" b="1905"/>
            <wp:docPr id="2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762C7" w:rsidRDefault="000762C7" w:rsidP="000762C7">
      <w:pPr>
        <w:spacing w:line="360" w:lineRule="auto"/>
        <w:jc w:val="center"/>
        <w:rPr>
          <w:rFonts w:ascii="Arial" w:hAnsi="Arial" w:cs="Arial"/>
        </w:rPr>
      </w:pPr>
    </w:p>
    <w:p w:rsidR="000762C7" w:rsidRPr="00594549" w:rsidRDefault="000762C7" w:rsidP="000762C7">
      <w:pPr>
        <w:spacing w:line="360" w:lineRule="auto"/>
        <w:jc w:val="both"/>
        <w:rPr>
          <w:rFonts w:ascii="Arial" w:hAnsi="Arial" w:cs="Arial"/>
          <w:sz w:val="24"/>
        </w:rPr>
      </w:pPr>
      <w:r>
        <w:rPr>
          <w:rFonts w:ascii="Arial" w:hAnsi="Arial" w:cs="Arial"/>
          <w:sz w:val="24"/>
        </w:rPr>
        <w:lastRenderedPageBreak/>
        <w:t>De las asesorías proporcionadas se desprenden los siguientes datos:</w:t>
      </w:r>
    </w:p>
    <w:p w:rsidR="000762C7" w:rsidRDefault="000762C7" w:rsidP="000762C7">
      <w:pPr>
        <w:spacing w:line="360" w:lineRule="auto"/>
        <w:jc w:val="center"/>
        <w:rPr>
          <w:rFonts w:ascii="Arial" w:hAnsi="Arial" w:cs="Arial"/>
        </w:rPr>
      </w:pPr>
      <w:r>
        <w:rPr>
          <w:rFonts w:ascii="Arial" w:hAnsi="Arial"/>
          <w:noProof/>
          <w:color w:val="000000"/>
        </w:rPr>
        <w:drawing>
          <wp:inline distT="0" distB="0" distL="0" distR="0" wp14:anchorId="335BC03A" wp14:editId="61EA3C99">
            <wp:extent cx="5655449" cy="3035194"/>
            <wp:effectExtent l="0" t="0" r="2540" b="13335"/>
            <wp:docPr id="22"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762C7" w:rsidRDefault="000762C7" w:rsidP="000762C7">
      <w:pPr>
        <w:spacing w:line="360" w:lineRule="auto"/>
        <w:jc w:val="center"/>
        <w:rPr>
          <w:rFonts w:ascii="Arial" w:hAnsi="Arial" w:cs="Arial"/>
        </w:rPr>
      </w:pPr>
    </w:p>
    <w:p w:rsidR="002F311A" w:rsidRPr="000762C7" w:rsidRDefault="000762C7" w:rsidP="000762C7">
      <w:pPr>
        <w:spacing w:line="360" w:lineRule="auto"/>
        <w:jc w:val="center"/>
        <w:rPr>
          <w:rFonts w:ascii="Arial" w:hAnsi="Arial" w:cs="Arial"/>
        </w:rPr>
      </w:pPr>
      <w:r>
        <w:rPr>
          <w:rFonts w:ascii="Arial" w:hAnsi="Arial"/>
          <w:noProof/>
          <w:color w:val="000000"/>
        </w:rPr>
        <w:drawing>
          <wp:inline distT="0" distB="0" distL="0" distR="0" wp14:anchorId="72239704" wp14:editId="5A6561B3">
            <wp:extent cx="5816813" cy="2866145"/>
            <wp:effectExtent l="0" t="0" r="12700" b="10795"/>
            <wp:docPr id="2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70E51" w:rsidRDefault="00D70E51" w:rsidP="00020907">
      <w:pPr>
        <w:tabs>
          <w:tab w:val="left" w:pos="1770"/>
        </w:tabs>
        <w:spacing w:after="0" w:line="360" w:lineRule="auto"/>
        <w:jc w:val="both"/>
        <w:rPr>
          <w:rFonts w:ascii="Arial" w:eastAsia="Times New Roman" w:hAnsi="Arial" w:cs="Times New Roman"/>
          <w:b/>
          <w:color w:val="000000"/>
          <w:sz w:val="24"/>
          <w:szCs w:val="24"/>
          <w:lang w:val="es-ES" w:eastAsia="es-ES"/>
        </w:rPr>
      </w:pPr>
    </w:p>
    <w:p w:rsidR="00020907" w:rsidRDefault="008857CC" w:rsidP="00020907">
      <w:pPr>
        <w:tabs>
          <w:tab w:val="left" w:pos="1770"/>
        </w:tabs>
        <w:spacing w:after="0"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lastRenderedPageBreak/>
        <w:t xml:space="preserve">CONCLUSIONES Y RECOMENDACIONES </w:t>
      </w:r>
    </w:p>
    <w:p w:rsidR="00370B30" w:rsidRPr="00370B30" w:rsidRDefault="00370B30" w:rsidP="00020907">
      <w:pPr>
        <w:tabs>
          <w:tab w:val="left" w:pos="1770"/>
        </w:tabs>
        <w:spacing w:after="0" w:line="360" w:lineRule="auto"/>
        <w:jc w:val="both"/>
        <w:rPr>
          <w:rFonts w:ascii="Arial" w:eastAsia="Times New Roman" w:hAnsi="Arial" w:cs="Times New Roman"/>
          <w:b/>
          <w:color w:val="000000"/>
          <w:sz w:val="24"/>
          <w:szCs w:val="24"/>
          <w:lang w:val="es-ES" w:eastAsia="es-ES"/>
        </w:rPr>
      </w:pPr>
    </w:p>
    <w:p w:rsidR="0031493C" w:rsidRDefault="0031493C" w:rsidP="0002090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El trabajo continuo con población joven permite conocer la visión que tienen en temas de desigualdad social basada en el sexo, la cual varía de acuerdo a su entorno social, los medios y servicios a los que se puedan acceder, ya que los roles y estereotipos que hombres y mujeres seguimos reproduciendo limitan nuestro pleno desarrollo físico y emocional. </w:t>
      </w:r>
    </w:p>
    <w:p w:rsidR="005148FE" w:rsidRDefault="005148FE" w:rsidP="00020907">
      <w:pPr>
        <w:tabs>
          <w:tab w:val="left" w:pos="1770"/>
        </w:tabs>
        <w:spacing w:after="0" w:line="360" w:lineRule="auto"/>
        <w:jc w:val="both"/>
        <w:rPr>
          <w:rFonts w:ascii="Arial" w:eastAsia="Times New Roman" w:hAnsi="Arial" w:cs="Times New Roman"/>
          <w:color w:val="000000"/>
          <w:sz w:val="24"/>
          <w:szCs w:val="24"/>
          <w:lang w:val="es-ES" w:eastAsia="es-ES"/>
        </w:rPr>
      </w:pPr>
    </w:p>
    <w:p w:rsidR="00020907" w:rsidRDefault="009A5C48" w:rsidP="0002090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L</w:t>
      </w:r>
      <w:r w:rsidR="0031493C">
        <w:rPr>
          <w:rFonts w:ascii="Arial" w:eastAsia="Times New Roman" w:hAnsi="Arial" w:cs="Times New Roman"/>
          <w:color w:val="000000"/>
          <w:sz w:val="24"/>
          <w:szCs w:val="24"/>
          <w:lang w:val="es-ES" w:eastAsia="es-ES"/>
        </w:rPr>
        <w:t xml:space="preserve">as actividades marcadas en el proyecto del CDM se han visto limitadas </w:t>
      </w:r>
      <w:r>
        <w:rPr>
          <w:rFonts w:ascii="Arial" w:eastAsia="Times New Roman" w:hAnsi="Arial" w:cs="Times New Roman"/>
          <w:color w:val="000000"/>
          <w:sz w:val="24"/>
          <w:szCs w:val="24"/>
          <w:lang w:val="es-ES" w:eastAsia="es-ES"/>
        </w:rPr>
        <w:t>debido a los tiempos</w:t>
      </w:r>
      <w:r w:rsidR="005148FE">
        <w:rPr>
          <w:rFonts w:ascii="Arial" w:eastAsia="Times New Roman" w:hAnsi="Arial" w:cs="Times New Roman"/>
          <w:color w:val="000000"/>
          <w:sz w:val="24"/>
          <w:szCs w:val="24"/>
          <w:lang w:val="es-ES" w:eastAsia="es-ES"/>
        </w:rPr>
        <w:t xml:space="preserve"> de cambios de administración y recursos limitados para salir a las comunidades </w:t>
      </w:r>
      <w:proofErr w:type="spellStart"/>
      <w:r w:rsidR="005148FE">
        <w:rPr>
          <w:rFonts w:ascii="Arial" w:eastAsia="Times New Roman" w:hAnsi="Arial" w:cs="Times New Roman"/>
          <w:color w:val="000000"/>
          <w:sz w:val="24"/>
          <w:szCs w:val="24"/>
          <w:lang w:val="es-ES" w:eastAsia="es-ES"/>
        </w:rPr>
        <w:t>wixaritari</w:t>
      </w:r>
      <w:proofErr w:type="spellEnd"/>
      <w:r>
        <w:rPr>
          <w:rFonts w:ascii="Arial" w:eastAsia="Times New Roman" w:hAnsi="Arial" w:cs="Times New Roman"/>
          <w:color w:val="000000"/>
          <w:sz w:val="24"/>
          <w:szCs w:val="24"/>
          <w:lang w:val="es-ES" w:eastAsia="es-ES"/>
        </w:rPr>
        <w:t xml:space="preserve">, por lo que se ha tenido </w:t>
      </w:r>
      <w:r w:rsidR="005148FE">
        <w:rPr>
          <w:rFonts w:ascii="Arial" w:eastAsia="Times New Roman" w:hAnsi="Arial" w:cs="Times New Roman"/>
          <w:color w:val="000000"/>
          <w:sz w:val="24"/>
          <w:szCs w:val="24"/>
          <w:lang w:val="es-ES" w:eastAsia="es-ES"/>
        </w:rPr>
        <w:t>que trabajar sólo en la cabecera municipal.</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8857CC" w:rsidTr="00C14E1D">
        <w:trPr>
          <w:trHeight w:val="1375"/>
        </w:trPr>
        <w:tc>
          <w:tcPr>
            <w:tcW w:w="8640" w:type="dxa"/>
          </w:tcPr>
          <w:p w:rsidR="008857CC" w:rsidRPr="008857CC" w:rsidRDefault="008857CC" w:rsidP="008857CC">
            <w:pPr>
              <w:jc w:val="center"/>
              <w:rPr>
                <w:rFonts w:ascii="Arial" w:hAnsi="Arial"/>
                <w:b/>
                <w:color w:val="000000"/>
              </w:rPr>
            </w:pPr>
          </w:p>
          <w:p w:rsidR="008857CC" w:rsidRPr="008857CC" w:rsidRDefault="00141AFD" w:rsidP="008857CC">
            <w:pPr>
              <w:jc w:val="center"/>
              <w:rPr>
                <w:rFonts w:ascii="Arial" w:hAnsi="Arial"/>
                <w:b/>
                <w:color w:val="000000"/>
              </w:rPr>
            </w:pPr>
            <w:r>
              <w:rPr>
                <w:rFonts w:ascii="Arial" w:hAnsi="Arial"/>
                <w:b/>
                <w:color w:val="000000"/>
              </w:rPr>
              <w:t>Lic. Alejandro Chávez Zamudio</w:t>
            </w:r>
          </w:p>
          <w:p w:rsidR="008857CC" w:rsidRDefault="004F70CB" w:rsidP="005148FE">
            <w:pPr>
              <w:jc w:val="center"/>
              <w:rPr>
                <w:rFonts w:ascii="Arial" w:hAnsi="Arial"/>
                <w:b/>
                <w:color w:val="000000"/>
              </w:rPr>
            </w:pPr>
            <w:r>
              <w:rPr>
                <w:rFonts w:ascii="Arial" w:hAnsi="Arial"/>
                <w:b/>
                <w:color w:val="000000"/>
              </w:rPr>
              <w:t>Coordinador  CDM</w:t>
            </w:r>
          </w:p>
          <w:p w:rsidR="00FF3D34" w:rsidRPr="008857CC" w:rsidRDefault="00FF3D34" w:rsidP="008857CC">
            <w:pPr>
              <w:rPr>
                <w:rFonts w:ascii="Arial" w:hAnsi="Arial"/>
                <w:b/>
                <w:color w:val="000000"/>
              </w:rPr>
            </w:pPr>
          </w:p>
        </w:tc>
      </w:tr>
      <w:tr w:rsidR="009F144F" w:rsidRPr="008857CC" w:rsidTr="001F35EF">
        <w:trPr>
          <w:trHeight w:val="913"/>
        </w:trPr>
        <w:tc>
          <w:tcPr>
            <w:tcW w:w="8640" w:type="dxa"/>
          </w:tcPr>
          <w:p w:rsidR="00FF3D34" w:rsidRPr="00974E8D" w:rsidRDefault="005148FE" w:rsidP="00913B71">
            <w:pPr>
              <w:jc w:val="center"/>
              <w:rPr>
                <w:rFonts w:ascii="Arial" w:hAnsi="Arial"/>
                <w:b/>
                <w:color w:val="000000"/>
              </w:rPr>
            </w:pPr>
            <w:r>
              <w:rPr>
                <w:rFonts w:ascii="Arial" w:hAnsi="Arial"/>
                <w:b/>
                <w:color w:val="000000"/>
              </w:rPr>
              <w:t xml:space="preserve">Licda. María Elena </w:t>
            </w:r>
            <w:r w:rsidR="00913B71">
              <w:rPr>
                <w:rFonts w:ascii="Arial" w:hAnsi="Arial"/>
                <w:b/>
                <w:color w:val="000000"/>
              </w:rPr>
              <w:t xml:space="preserve">Martínez </w:t>
            </w:r>
            <w:r>
              <w:rPr>
                <w:rFonts w:ascii="Arial" w:hAnsi="Arial"/>
                <w:b/>
                <w:color w:val="000000"/>
              </w:rPr>
              <w:t xml:space="preserve">Bautista </w:t>
            </w:r>
          </w:p>
        </w:tc>
      </w:tr>
      <w:tr w:rsidR="009F144F" w:rsidRPr="008857CC" w:rsidTr="001F35EF">
        <w:trPr>
          <w:trHeight w:val="913"/>
        </w:trPr>
        <w:tc>
          <w:tcPr>
            <w:tcW w:w="8640" w:type="dxa"/>
            <w:vAlign w:val="center"/>
          </w:tcPr>
          <w:p w:rsidR="009F144F" w:rsidRPr="00974E8D" w:rsidRDefault="009F144F" w:rsidP="005148FE">
            <w:pPr>
              <w:jc w:val="center"/>
              <w:rPr>
                <w:rFonts w:ascii="Arial" w:hAnsi="Arial"/>
                <w:b/>
                <w:color w:val="000000"/>
              </w:rPr>
            </w:pPr>
            <w:r w:rsidRPr="00974E8D">
              <w:rPr>
                <w:rFonts w:ascii="Arial" w:hAnsi="Arial"/>
                <w:b/>
                <w:color w:val="000000"/>
              </w:rPr>
              <w:t xml:space="preserve">Lic. </w:t>
            </w:r>
            <w:proofErr w:type="spellStart"/>
            <w:r w:rsidRPr="00974E8D">
              <w:rPr>
                <w:rFonts w:ascii="Arial" w:hAnsi="Arial"/>
                <w:b/>
                <w:color w:val="000000"/>
              </w:rPr>
              <w:t>Cesilio</w:t>
            </w:r>
            <w:proofErr w:type="spellEnd"/>
            <w:r w:rsidRPr="00974E8D">
              <w:rPr>
                <w:rFonts w:ascii="Arial" w:hAnsi="Arial"/>
                <w:b/>
                <w:color w:val="000000"/>
              </w:rPr>
              <w:t xml:space="preserve"> González Nazario</w:t>
            </w:r>
          </w:p>
          <w:p w:rsidR="00FF3D34" w:rsidRPr="00974E8D" w:rsidRDefault="009F144F" w:rsidP="005148FE">
            <w:pPr>
              <w:jc w:val="center"/>
              <w:rPr>
                <w:rFonts w:ascii="Arial" w:hAnsi="Arial"/>
                <w:b/>
                <w:color w:val="000000"/>
              </w:rPr>
            </w:pPr>
            <w:r>
              <w:rPr>
                <w:rFonts w:ascii="Arial" w:hAnsi="Arial"/>
                <w:b/>
                <w:color w:val="000000"/>
              </w:rPr>
              <w:t>Profesionistas del Centro para el Desarrollo de las Mujeres Mezquitic</w:t>
            </w:r>
          </w:p>
          <w:p w:rsidR="009F144F" w:rsidRDefault="009F144F" w:rsidP="004219EA">
            <w:pPr>
              <w:jc w:val="center"/>
              <w:rPr>
                <w:rFonts w:ascii="Arial" w:hAnsi="Arial"/>
                <w:b/>
                <w:color w:val="000000"/>
              </w:rPr>
            </w:pPr>
            <w:r w:rsidRPr="00974E8D">
              <w:rPr>
                <w:rFonts w:ascii="Arial" w:hAnsi="Arial"/>
                <w:b/>
                <w:color w:val="000000"/>
              </w:rPr>
              <w:t xml:space="preserve">Responsables de la elaboración </w:t>
            </w:r>
          </w:p>
          <w:p w:rsidR="009F144F" w:rsidRDefault="009F144F" w:rsidP="004219EA">
            <w:pPr>
              <w:jc w:val="center"/>
              <w:rPr>
                <w:rFonts w:ascii="Arial" w:hAnsi="Arial"/>
                <w:b/>
                <w:color w:val="000000"/>
              </w:rPr>
            </w:pPr>
          </w:p>
          <w:p w:rsidR="009F144F" w:rsidRPr="00974E8D" w:rsidRDefault="009F144F" w:rsidP="004219EA">
            <w:pPr>
              <w:jc w:val="center"/>
              <w:rPr>
                <w:rFonts w:ascii="Arial" w:hAnsi="Arial"/>
                <w:b/>
                <w:color w:val="000000"/>
              </w:rPr>
            </w:pPr>
          </w:p>
        </w:tc>
      </w:tr>
    </w:tbl>
    <w:p w:rsidR="00847691" w:rsidRDefault="00847691"/>
    <w:sectPr w:rsidR="00847691" w:rsidSect="00DA4699">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A8E" w:rsidRDefault="00A63A8E">
      <w:pPr>
        <w:spacing w:after="0" w:line="240" w:lineRule="auto"/>
      </w:pPr>
      <w:r>
        <w:separator/>
      </w:r>
    </w:p>
  </w:endnote>
  <w:endnote w:type="continuationSeparator" w:id="0">
    <w:p w:rsidR="00A63A8E" w:rsidRDefault="00A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E51" w:rsidRPr="00902CFC" w:rsidRDefault="00344D39" w:rsidP="00A55E51">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A8E" w:rsidRDefault="00A63A8E">
      <w:pPr>
        <w:spacing w:after="0" w:line="240" w:lineRule="auto"/>
      </w:pPr>
      <w:r>
        <w:separator/>
      </w:r>
    </w:p>
  </w:footnote>
  <w:footnote w:type="continuationSeparator" w:id="0">
    <w:p w:rsidR="00A63A8E" w:rsidRDefault="00A63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7" w:type="dxa"/>
      <w:tblLayout w:type="fixed"/>
      <w:tblCellMar>
        <w:left w:w="0" w:type="dxa"/>
        <w:right w:w="0" w:type="dxa"/>
      </w:tblCellMar>
      <w:tblLook w:val="0000" w:firstRow="0" w:lastRow="0" w:firstColumn="0" w:lastColumn="0" w:noHBand="0" w:noVBand="0"/>
    </w:tblPr>
    <w:tblGrid>
      <w:gridCol w:w="9877"/>
      <w:gridCol w:w="225"/>
      <w:gridCol w:w="225"/>
    </w:tblGrid>
    <w:tr w:rsidR="00A55E51" w:rsidTr="00971AC7">
      <w:trPr>
        <w:trHeight w:val="1068"/>
      </w:trPr>
      <w:tc>
        <w:tcPr>
          <w:tcW w:w="9877" w:type="dxa"/>
          <w:tcMar>
            <w:left w:w="0" w:type="dxa"/>
            <w:right w:w="0" w:type="dxa"/>
          </w:tcMar>
        </w:tcPr>
        <w:p w:rsidR="00A55E51" w:rsidRDefault="00242DDB" w:rsidP="00242DDB">
          <w:pPr>
            <w:keepNext/>
            <w:spacing w:before="240" w:after="60"/>
            <w:rPr>
              <w:rFonts w:ascii="Cambria" w:hAnsi="Cambria"/>
              <w:b/>
              <w:color w:val="000000"/>
              <w:sz w:val="32"/>
            </w:rPr>
          </w:pPr>
          <w:r>
            <w:rPr>
              <w:b/>
              <w:noProof/>
              <w:color w:val="000000"/>
            </w:rPr>
            <w:drawing>
              <wp:inline distT="0" distB="0" distL="0" distR="0">
                <wp:extent cx="4114800" cy="704850"/>
                <wp:effectExtent l="19050" t="0" r="0" b="0"/>
                <wp:docPr id="18"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srcRect r="23836"/>
                        <a:stretch>
                          <a:fillRect/>
                        </a:stretch>
                      </pic:blipFill>
                      <pic:spPr bwMode="auto">
                        <a:xfrm>
                          <a:off x="0" y="0"/>
                          <a:ext cx="4114800" cy="704850"/>
                        </a:xfrm>
                        <a:prstGeom prst="rect">
                          <a:avLst/>
                        </a:prstGeom>
                        <a:noFill/>
                        <a:ln w="9525">
                          <a:noFill/>
                          <a:miter lim="800000"/>
                          <a:headEnd/>
                          <a:tailEnd/>
                        </a:ln>
                      </pic:spPr>
                    </pic:pic>
                  </a:graphicData>
                </a:graphic>
              </wp:inline>
            </w:drawing>
          </w:r>
          <w:r>
            <w:rPr>
              <w:rFonts w:ascii="Arial" w:hAnsi="Arial" w:cs="Arial"/>
              <w:noProof/>
              <w:sz w:val="36"/>
              <w:szCs w:val="36"/>
            </w:rPr>
            <w:drawing>
              <wp:inline distT="0" distB="0" distL="0" distR="0">
                <wp:extent cx="1304925" cy="704850"/>
                <wp:effectExtent l="19050" t="0" r="9525" b="0"/>
                <wp:docPr id="23"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srcRect/>
                        <a:stretch>
                          <a:fillRect/>
                        </a:stretch>
                      </pic:blipFill>
                      <pic:spPr bwMode="auto">
                        <a:xfrm>
                          <a:off x="0" y="0"/>
                          <a:ext cx="1304925" cy="704850"/>
                        </a:xfrm>
                        <a:prstGeom prst="rect">
                          <a:avLst/>
                        </a:prstGeom>
                        <a:noFill/>
                        <a:ln w="9525">
                          <a:noFill/>
                          <a:miter lim="800000"/>
                          <a:headEnd/>
                          <a:tailEnd/>
                        </a:ln>
                      </pic:spPr>
                    </pic:pic>
                  </a:graphicData>
                </a:graphic>
              </wp:inline>
            </w:drawing>
          </w:r>
        </w:p>
      </w:tc>
      <w:tc>
        <w:tcPr>
          <w:tcW w:w="225" w:type="dxa"/>
          <w:tcMar>
            <w:left w:w="0" w:type="dxa"/>
            <w:right w:w="0" w:type="dxa"/>
          </w:tcMar>
        </w:tcPr>
        <w:p w:rsidR="00A55E51" w:rsidRDefault="00F91932" w:rsidP="00A55E51">
          <w:pPr>
            <w:rPr>
              <w:rFonts w:ascii="Arial" w:hAnsi="Arial"/>
              <w:color w:val="000000"/>
              <w:sz w:val="36"/>
            </w:rPr>
          </w:pPr>
        </w:p>
      </w:tc>
      <w:tc>
        <w:tcPr>
          <w:tcW w:w="225" w:type="dxa"/>
          <w:tcMar>
            <w:left w:w="0" w:type="dxa"/>
            <w:right w:w="0" w:type="dxa"/>
          </w:tcMar>
        </w:tcPr>
        <w:p w:rsidR="00A55E51" w:rsidRDefault="00F91932" w:rsidP="00A55E51">
          <w:pPr>
            <w:jc w:val="center"/>
            <w:rPr>
              <w:rFonts w:ascii="Arial" w:hAnsi="Arial"/>
              <w:color w:val="000000"/>
              <w:sz w:val="36"/>
            </w:rPr>
          </w:pPr>
        </w:p>
        <w:p w:rsidR="00A55E51" w:rsidRDefault="00F91932" w:rsidP="00A55E51">
          <w:pPr>
            <w:jc w:val="center"/>
            <w:rPr>
              <w:rFonts w:ascii="Arial" w:hAnsi="Arial"/>
              <w:color w:val="000000"/>
              <w:sz w:val="36"/>
            </w:rPr>
          </w:pPr>
        </w:p>
      </w:tc>
    </w:tr>
  </w:tbl>
  <w:p w:rsidR="00A55E51" w:rsidRDefault="00F91932" w:rsidP="00A55E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CC"/>
    <w:rsid w:val="000159A3"/>
    <w:rsid w:val="00016062"/>
    <w:rsid w:val="00020907"/>
    <w:rsid w:val="000762C7"/>
    <w:rsid w:val="00081E4A"/>
    <w:rsid w:val="0008566B"/>
    <w:rsid w:val="000975FC"/>
    <w:rsid w:val="000C0862"/>
    <w:rsid w:val="000C7281"/>
    <w:rsid w:val="000F7047"/>
    <w:rsid w:val="00116BB8"/>
    <w:rsid w:val="00141AFD"/>
    <w:rsid w:val="00145648"/>
    <w:rsid w:val="00155A73"/>
    <w:rsid w:val="00171515"/>
    <w:rsid w:val="00176887"/>
    <w:rsid w:val="00193E7E"/>
    <w:rsid w:val="001B50DC"/>
    <w:rsid w:val="001D1BCE"/>
    <w:rsid w:val="001D797C"/>
    <w:rsid w:val="001E6ABC"/>
    <w:rsid w:val="001F578E"/>
    <w:rsid w:val="00242DDB"/>
    <w:rsid w:val="0025418B"/>
    <w:rsid w:val="002679D5"/>
    <w:rsid w:val="002772F7"/>
    <w:rsid w:val="002B03D0"/>
    <w:rsid w:val="002C314E"/>
    <w:rsid w:val="002C395F"/>
    <w:rsid w:val="002C7503"/>
    <w:rsid w:val="002E7B9C"/>
    <w:rsid w:val="002F311A"/>
    <w:rsid w:val="0031493C"/>
    <w:rsid w:val="00344D39"/>
    <w:rsid w:val="00350FD2"/>
    <w:rsid w:val="00357D2D"/>
    <w:rsid w:val="00370B30"/>
    <w:rsid w:val="003A224E"/>
    <w:rsid w:val="00425D76"/>
    <w:rsid w:val="004546FA"/>
    <w:rsid w:val="00456ECF"/>
    <w:rsid w:val="00485419"/>
    <w:rsid w:val="00491E79"/>
    <w:rsid w:val="00491F90"/>
    <w:rsid w:val="004B0152"/>
    <w:rsid w:val="004B718B"/>
    <w:rsid w:val="004F70CB"/>
    <w:rsid w:val="0050107A"/>
    <w:rsid w:val="005148FE"/>
    <w:rsid w:val="00517925"/>
    <w:rsid w:val="005523AE"/>
    <w:rsid w:val="005548D1"/>
    <w:rsid w:val="00563D0C"/>
    <w:rsid w:val="005722AD"/>
    <w:rsid w:val="00573A32"/>
    <w:rsid w:val="00576624"/>
    <w:rsid w:val="00580138"/>
    <w:rsid w:val="00583B41"/>
    <w:rsid w:val="005A7D32"/>
    <w:rsid w:val="005D361F"/>
    <w:rsid w:val="005D6A12"/>
    <w:rsid w:val="005E02D4"/>
    <w:rsid w:val="005E2266"/>
    <w:rsid w:val="005E22F7"/>
    <w:rsid w:val="005E3381"/>
    <w:rsid w:val="005E6E7B"/>
    <w:rsid w:val="006052B5"/>
    <w:rsid w:val="0062210D"/>
    <w:rsid w:val="006407DF"/>
    <w:rsid w:val="0064521A"/>
    <w:rsid w:val="00677DFE"/>
    <w:rsid w:val="0069263C"/>
    <w:rsid w:val="006A025A"/>
    <w:rsid w:val="006A4279"/>
    <w:rsid w:val="006B2E5C"/>
    <w:rsid w:val="006B446D"/>
    <w:rsid w:val="006D78F9"/>
    <w:rsid w:val="00712CA6"/>
    <w:rsid w:val="007245C4"/>
    <w:rsid w:val="00726044"/>
    <w:rsid w:val="0077035D"/>
    <w:rsid w:val="007819E5"/>
    <w:rsid w:val="00784590"/>
    <w:rsid w:val="0078732A"/>
    <w:rsid w:val="007943D1"/>
    <w:rsid w:val="007A0C9F"/>
    <w:rsid w:val="007A291A"/>
    <w:rsid w:val="007A4B13"/>
    <w:rsid w:val="007B0733"/>
    <w:rsid w:val="007C7BAE"/>
    <w:rsid w:val="007E48CF"/>
    <w:rsid w:val="007F0A5A"/>
    <w:rsid w:val="00800C53"/>
    <w:rsid w:val="008029B9"/>
    <w:rsid w:val="008059EB"/>
    <w:rsid w:val="00805EC2"/>
    <w:rsid w:val="008064CF"/>
    <w:rsid w:val="00806E39"/>
    <w:rsid w:val="008231B2"/>
    <w:rsid w:val="008262CC"/>
    <w:rsid w:val="00847691"/>
    <w:rsid w:val="00854676"/>
    <w:rsid w:val="008857CC"/>
    <w:rsid w:val="008A5833"/>
    <w:rsid w:val="008B213E"/>
    <w:rsid w:val="008B70AF"/>
    <w:rsid w:val="008C38A9"/>
    <w:rsid w:val="008D4930"/>
    <w:rsid w:val="008D7FAF"/>
    <w:rsid w:val="00903623"/>
    <w:rsid w:val="00906CB1"/>
    <w:rsid w:val="00910A0C"/>
    <w:rsid w:val="00913B71"/>
    <w:rsid w:val="00915F70"/>
    <w:rsid w:val="009273B7"/>
    <w:rsid w:val="0094314B"/>
    <w:rsid w:val="00947606"/>
    <w:rsid w:val="00955D5E"/>
    <w:rsid w:val="00960A48"/>
    <w:rsid w:val="00971AC7"/>
    <w:rsid w:val="00985A86"/>
    <w:rsid w:val="009A20A7"/>
    <w:rsid w:val="009A5C48"/>
    <w:rsid w:val="009C1DB6"/>
    <w:rsid w:val="009F144F"/>
    <w:rsid w:val="00A11B2D"/>
    <w:rsid w:val="00A34600"/>
    <w:rsid w:val="00A4753C"/>
    <w:rsid w:val="00A63A8E"/>
    <w:rsid w:val="00A6615D"/>
    <w:rsid w:val="00A7060E"/>
    <w:rsid w:val="00A90487"/>
    <w:rsid w:val="00AB1A5B"/>
    <w:rsid w:val="00AB691C"/>
    <w:rsid w:val="00AB7EB3"/>
    <w:rsid w:val="00AD07A9"/>
    <w:rsid w:val="00AE6063"/>
    <w:rsid w:val="00B00A3E"/>
    <w:rsid w:val="00B01403"/>
    <w:rsid w:val="00B508CE"/>
    <w:rsid w:val="00B77159"/>
    <w:rsid w:val="00B81325"/>
    <w:rsid w:val="00BB42DA"/>
    <w:rsid w:val="00BC4853"/>
    <w:rsid w:val="00BD1BB6"/>
    <w:rsid w:val="00BE25CD"/>
    <w:rsid w:val="00BE6220"/>
    <w:rsid w:val="00BF21D8"/>
    <w:rsid w:val="00BF53BD"/>
    <w:rsid w:val="00C007B2"/>
    <w:rsid w:val="00C20AA6"/>
    <w:rsid w:val="00C5082F"/>
    <w:rsid w:val="00CB00B2"/>
    <w:rsid w:val="00CB227F"/>
    <w:rsid w:val="00CC0428"/>
    <w:rsid w:val="00CD136B"/>
    <w:rsid w:val="00CD69B5"/>
    <w:rsid w:val="00CE085B"/>
    <w:rsid w:val="00CE378E"/>
    <w:rsid w:val="00CF1482"/>
    <w:rsid w:val="00CF231C"/>
    <w:rsid w:val="00CF2C0F"/>
    <w:rsid w:val="00D02C12"/>
    <w:rsid w:val="00D06D58"/>
    <w:rsid w:val="00D077E0"/>
    <w:rsid w:val="00D13790"/>
    <w:rsid w:val="00D15E76"/>
    <w:rsid w:val="00D2383E"/>
    <w:rsid w:val="00D23FCE"/>
    <w:rsid w:val="00D32AE4"/>
    <w:rsid w:val="00D41B99"/>
    <w:rsid w:val="00D50E9E"/>
    <w:rsid w:val="00D521FB"/>
    <w:rsid w:val="00D5370F"/>
    <w:rsid w:val="00D67C5A"/>
    <w:rsid w:val="00D70E51"/>
    <w:rsid w:val="00D72065"/>
    <w:rsid w:val="00D82446"/>
    <w:rsid w:val="00D91738"/>
    <w:rsid w:val="00DB5C78"/>
    <w:rsid w:val="00DB61C9"/>
    <w:rsid w:val="00DF38E1"/>
    <w:rsid w:val="00E37ECD"/>
    <w:rsid w:val="00E53ED9"/>
    <w:rsid w:val="00E85AD8"/>
    <w:rsid w:val="00EA0BBD"/>
    <w:rsid w:val="00EA4B3D"/>
    <w:rsid w:val="00EC5A35"/>
    <w:rsid w:val="00EE0DCF"/>
    <w:rsid w:val="00EE1BEB"/>
    <w:rsid w:val="00EF68FF"/>
    <w:rsid w:val="00EF735A"/>
    <w:rsid w:val="00F03609"/>
    <w:rsid w:val="00F07669"/>
    <w:rsid w:val="00F112FF"/>
    <w:rsid w:val="00F11F1F"/>
    <w:rsid w:val="00F33B78"/>
    <w:rsid w:val="00F3487C"/>
    <w:rsid w:val="00F43C34"/>
    <w:rsid w:val="00F64C3E"/>
    <w:rsid w:val="00F72255"/>
    <w:rsid w:val="00F91932"/>
    <w:rsid w:val="00FA15B3"/>
    <w:rsid w:val="00FB53F2"/>
    <w:rsid w:val="00FC1C28"/>
    <w:rsid w:val="00FC6366"/>
    <w:rsid w:val="00FE1525"/>
    <w:rsid w:val="00FF3D3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paragraph" w:styleId="Epgrafe">
    <w:name w:val="caption"/>
    <w:basedOn w:val="Normal"/>
    <w:next w:val="Normal"/>
    <w:uiPriority w:val="35"/>
    <w:unhideWhenUsed/>
    <w:qFormat/>
    <w:rsid w:val="00F11F1F"/>
    <w:pPr>
      <w:spacing w:line="240" w:lineRule="auto"/>
    </w:pPr>
    <w:rPr>
      <w:b/>
      <w:bCs/>
      <w:color w:val="4F81BD" w:themeColor="accent1"/>
      <w:sz w:val="18"/>
      <w:szCs w:val="18"/>
    </w:rPr>
  </w:style>
  <w:style w:type="table" w:styleId="Tablaconcuadrcula">
    <w:name w:val="Table Grid"/>
    <w:basedOn w:val="Tablanormal"/>
    <w:uiPriority w:val="59"/>
    <w:rsid w:val="00F11F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paragraph" w:styleId="Epgrafe">
    <w:name w:val="caption"/>
    <w:basedOn w:val="Normal"/>
    <w:next w:val="Normal"/>
    <w:uiPriority w:val="35"/>
    <w:unhideWhenUsed/>
    <w:qFormat/>
    <w:rsid w:val="00F11F1F"/>
    <w:pPr>
      <w:spacing w:line="240" w:lineRule="auto"/>
    </w:pPr>
    <w:rPr>
      <w:b/>
      <w:bCs/>
      <w:color w:val="4F81BD" w:themeColor="accent1"/>
      <w:sz w:val="18"/>
      <w:szCs w:val="18"/>
    </w:rPr>
  </w:style>
  <w:style w:type="table" w:styleId="Tablaconcuadrcula">
    <w:name w:val="Table Grid"/>
    <w:basedOn w:val="Tablanormal"/>
    <w:uiPriority w:val="59"/>
    <w:rsid w:val="00F11F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626620037">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Hoja_de_c_lculo_de_Microsoft_Excel10.xlsx"/></Relationships>
</file>

<file path=word/charts/_rels/chart11.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Hoja_de_c_lculo_de_Microsoft_Excel11.xlsx"/></Relationships>
</file>

<file path=word/charts/_rels/chart12.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Hoja_de_c_lculo_de_Microsoft_Excel12.xlsx"/></Relationships>
</file>

<file path=word/charts/_rels/chart13.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Hoja_de_c_lculo_de_Microsoft_Excel13.xlsx"/></Relationships>
</file>

<file path=word/charts/_rels/chart14.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Hoja_de_c_lculo_de_Microsoft_Excel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4"/>
    </mc:Choice>
    <mc:Fallback>
      <c:style val="24"/>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15</c:v>
                </c:pt>
                <c:pt idx="1">
                  <c:v>9</c:v>
                </c:pt>
              </c:numCache>
            </c:numRef>
          </c:val>
          <c:extLst xmlns:c16r2="http://schemas.microsoft.com/office/drawing/2015/06/chart">
            <c:ext xmlns:c16="http://schemas.microsoft.com/office/drawing/2014/chart" uri="{C3380CC4-5D6E-409C-BE32-E72D297353CC}">
              <c16:uniqueId val="{00000000-4009-4421-B085-E1E6DF98B40D}"/>
            </c:ext>
          </c:extLst>
        </c:ser>
        <c:dLbls>
          <c:showLegendKey val="0"/>
          <c:showVal val="0"/>
          <c:showCatName val="0"/>
          <c:showSerName val="0"/>
          <c:showPercent val="0"/>
          <c:showBubbleSize val="0"/>
        </c:dLbls>
        <c:gapWidth val="150"/>
        <c:shape val="box"/>
        <c:axId val="139847936"/>
        <c:axId val="198916352"/>
        <c:axId val="0"/>
      </c:bar3DChart>
      <c:catAx>
        <c:axId val="139847936"/>
        <c:scaling>
          <c:orientation val="minMax"/>
        </c:scaling>
        <c:delete val="0"/>
        <c:axPos val="b"/>
        <c:numFmt formatCode="General" sourceLinked="1"/>
        <c:majorTickMark val="out"/>
        <c:minorTickMark val="none"/>
        <c:tickLblPos val="nextTo"/>
        <c:crossAx val="198916352"/>
        <c:crosses val="autoZero"/>
        <c:auto val="1"/>
        <c:lblAlgn val="ctr"/>
        <c:lblOffset val="100"/>
        <c:noMultiLvlLbl val="0"/>
      </c:catAx>
      <c:valAx>
        <c:axId val="198916352"/>
        <c:scaling>
          <c:orientation val="minMax"/>
        </c:scaling>
        <c:delete val="0"/>
        <c:axPos val="l"/>
        <c:majorGridlines/>
        <c:numFmt formatCode="General" sourceLinked="1"/>
        <c:majorTickMark val="out"/>
        <c:minorTickMark val="none"/>
        <c:tickLblPos val="nextTo"/>
        <c:crossAx val="1398479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LOCALIDAD</a:t>
            </a:r>
          </a:p>
        </c:rich>
      </c:tx>
      <c:overlay val="0"/>
      <c:spPr>
        <a:noFill/>
        <a:ln>
          <a:noFill/>
        </a:ln>
        <a:effectLst/>
      </c:spPr>
    </c:title>
    <c:autoTitleDeleted val="0"/>
    <c:plotArea>
      <c:layout/>
      <c:barChart>
        <c:barDir val="col"/>
        <c:grouping val="stacked"/>
        <c:varyColors val="0"/>
        <c:ser>
          <c:idx val="0"/>
          <c:order val="0"/>
          <c:tx>
            <c:strRef>
              <c:f>Hoja1!$B$1</c:f>
              <c:strCache>
                <c:ptCount val="1"/>
                <c:pt idx="0">
                  <c:v>Hombres</c:v>
                </c:pt>
              </c:strCache>
            </c:strRef>
          </c:tx>
          <c:spPr>
            <a:solidFill>
              <a:schemeClr val="accent5">
                <a:shade val="76000"/>
              </a:schemeClr>
            </a:solidFill>
            <a:ln>
              <a:noFill/>
            </a:ln>
            <a:effectLst/>
          </c:spPr>
          <c:invertIfNegative val="0"/>
          <c:cat>
            <c:strRef>
              <c:f>Hoja1!$A$2:$A$4</c:f>
              <c:strCache>
                <c:ptCount val="3"/>
                <c:pt idx="0">
                  <c:v>Mezquitic</c:v>
                </c:pt>
                <c:pt idx="1">
                  <c:v>San Andrés</c:v>
                </c:pt>
                <c:pt idx="2">
                  <c:v>Santa Catarina</c:v>
                </c:pt>
              </c:strCache>
            </c:strRef>
          </c:cat>
          <c:val>
            <c:numRef>
              <c:f>Hoja1!$B$2:$B$4</c:f>
              <c:numCache>
                <c:formatCode>General</c:formatCode>
                <c:ptCount val="3"/>
                <c:pt idx="0">
                  <c:v>0</c:v>
                </c:pt>
                <c:pt idx="1">
                  <c:v>0</c:v>
                </c:pt>
                <c:pt idx="2">
                  <c:v>0</c:v>
                </c:pt>
              </c:numCache>
            </c:numRef>
          </c:val>
        </c:ser>
        <c:ser>
          <c:idx val="1"/>
          <c:order val="1"/>
          <c:tx>
            <c:strRef>
              <c:f>Hoja1!$C$1</c:f>
              <c:strCache>
                <c:ptCount val="1"/>
                <c:pt idx="0">
                  <c:v>Mujeres</c:v>
                </c:pt>
              </c:strCache>
            </c:strRef>
          </c:tx>
          <c:spPr>
            <a:solidFill>
              <a:schemeClr val="accent5">
                <a:tint val="77000"/>
              </a:schemeClr>
            </a:solidFill>
            <a:ln>
              <a:noFill/>
            </a:ln>
            <a:effectLst/>
          </c:spPr>
          <c:invertIfNegative val="0"/>
          <c:cat>
            <c:strRef>
              <c:f>Hoja1!$A$2:$A$4</c:f>
              <c:strCache>
                <c:ptCount val="3"/>
                <c:pt idx="0">
                  <c:v>Mezquitic</c:v>
                </c:pt>
                <c:pt idx="1">
                  <c:v>San Andrés</c:v>
                </c:pt>
                <c:pt idx="2">
                  <c:v>Santa Catarina</c:v>
                </c:pt>
              </c:strCache>
            </c:strRef>
          </c:cat>
          <c:val>
            <c:numRef>
              <c:f>Hoja1!$C$2:$C$4</c:f>
              <c:numCache>
                <c:formatCode>General</c:formatCode>
                <c:ptCount val="3"/>
                <c:pt idx="0">
                  <c:v>2</c:v>
                </c:pt>
                <c:pt idx="1">
                  <c:v>2</c:v>
                </c:pt>
                <c:pt idx="2">
                  <c:v>1</c:v>
                </c:pt>
              </c:numCache>
            </c:numRef>
          </c:val>
        </c:ser>
        <c:dLbls>
          <c:showLegendKey val="0"/>
          <c:showVal val="0"/>
          <c:showCatName val="0"/>
          <c:showSerName val="0"/>
          <c:showPercent val="0"/>
          <c:showBubbleSize val="0"/>
        </c:dLbls>
        <c:gapWidth val="95"/>
        <c:overlap val="100"/>
        <c:axId val="51295360"/>
        <c:axId val="51296896"/>
      </c:barChart>
      <c:catAx>
        <c:axId val="51295360"/>
        <c:scaling>
          <c:orientation val="minMax"/>
        </c:scaling>
        <c:delete val="0"/>
        <c:axPos val="b"/>
        <c:numFmt formatCode="General" sourceLinked="0"/>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51296896"/>
        <c:crosses val="autoZero"/>
        <c:auto val="1"/>
        <c:lblAlgn val="ctr"/>
        <c:lblOffset val="100"/>
        <c:noMultiLvlLbl val="0"/>
      </c:catAx>
      <c:valAx>
        <c:axId val="5129689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5129536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ESTADO CIVÍL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Hoja1!$A$2:$A$5</c:f>
              <c:strCache>
                <c:ptCount val="4"/>
                <c:pt idx="0">
                  <c:v>Casada/o</c:v>
                </c:pt>
                <c:pt idx="1">
                  <c:v>Soltera/o</c:v>
                </c:pt>
                <c:pt idx="2">
                  <c:v>Divorsiada/o</c:v>
                </c:pt>
                <c:pt idx="3">
                  <c:v>Viuda/o</c:v>
                </c:pt>
              </c:strCache>
            </c:strRef>
          </c:cat>
          <c:val>
            <c:numRef>
              <c:f>Hoja1!$B$2:$B$5</c:f>
              <c:numCache>
                <c:formatCode>General</c:formatCode>
                <c:ptCount val="4"/>
                <c:pt idx="0">
                  <c:v>0</c:v>
                </c:pt>
                <c:pt idx="1">
                  <c:v>4</c:v>
                </c:pt>
                <c:pt idx="2">
                  <c:v>1</c:v>
                </c:pt>
                <c:pt idx="3">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Hoja1!$A$2:$A$5</c:f>
              <c:strCache>
                <c:ptCount val="4"/>
                <c:pt idx="0">
                  <c:v>Casada/o</c:v>
                </c:pt>
                <c:pt idx="1">
                  <c:v>Soltera/o</c:v>
                </c:pt>
                <c:pt idx="2">
                  <c:v>Divorsiada/o</c:v>
                </c:pt>
                <c:pt idx="3">
                  <c:v>Viuda/o</c:v>
                </c:pt>
              </c:strCache>
            </c:strRef>
          </c:cat>
          <c:val>
            <c:numRef>
              <c:f>Hoja1!$C$2:$C$5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shape val="box"/>
        <c:axId val="137131520"/>
        <c:axId val="137133056"/>
        <c:axId val="0"/>
      </c:bar3DChart>
      <c:catAx>
        <c:axId val="13713152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37133056"/>
        <c:crosses val="autoZero"/>
        <c:auto val="1"/>
        <c:lblAlgn val="ctr"/>
        <c:lblOffset val="100"/>
        <c:noMultiLvlLbl val="0"/>
      </c:catAx>
      <c:valAx>
        <c:axId val="13713305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3713152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a:t>
            </a:r>
            <a:r>
              <a:rPr lang="es-MX" baseline="0"/>
              <a:t> DE EDAD</a:t>
            </a:r>
            <a:endParaRPr lang="es-MX"/>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Menor de 15 años</c:v>
                </c:pt>
                <c:pt idx="1">
                  <c:v>15 a 29 años </c:v>
                </c:pt>
                <c:pt idx="2">
                  <c:v>30 a 44 años </c:v>
                </c:pt>
                <c:pt idx="3">
                  <c:v>45 a 59 años </c:v>
                </c:pt>
                <c:pt idx="4">
                  <c:v>60 y más</c:v>
                </c:pt>
              </c:strCache>
            </c:strRef>
          </c:cat>
          <c:val>
            <c:numRef>
              <c:f>Hoja1!$B$2:$B$6</c:f>
              <c:numCache>
                <c:formatCode>General</c:formatCode>
                <c:ptCount val="5"/>
                <c:pt idx="0">
                  <c:v>0</c:v>
                </c:pt>
                <c:pt idx="1">
                  <c:v>3</c:v>
                </c:pt>
                <c:pt idx="2">
                  <c:v>2</c:v>
                </c:pt>
                <c:pt idx="3">
                  <c:v>0</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Menor de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151377408"/>
        <c:axId val="151378944"/>
        <c:axId val="0"/>
      </c:bar3DChart>
      <c:catAx>
        <c:axId val="151377408"/>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51378944"/>
        <c:crosses val="autoZero"/>
        <c:auto val="1"/>
        <c:lblAlgn val="ctr"/>
        <c:lblOffset val="100"/>
        <c:noMultiLvlLbl val="0"/>
      </c:catAx>
      <c:valAx>
        <c:axId val="15137894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51377408"/>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TIPO DE VIOLENCIA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5</c:v>
                </c:pt>
                <c:pt idx="1">
                  <c:v>1</c:v>
                </c:pt>
                <c:pt idx="2">
                  <c:v>2</c:v>
                </c:pt>
                <c:pt idx="3">
                  <c:v>0</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201565696"/>
        <c:axId val="201567232"/>
        <c:axId val="0"/>
      </c:bar3DChart>
      <c:catAx>
        <c:axId val="201565696"/>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01567232"/>
        <c:crosses val="autoZero"/>
        <c:auto val="1"/>
        <c:lblAlgn val="ctr"/>
        <c:lblOffset val="100"/>
        <c:noMultiLvlLbl val="0"/>
      </c:catAx>
      <c:valAx>
        <c:axId val="201567232"/>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01565696"/>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MODALIDAD DE LA VIOLENCIA</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Hoja1!$A$2:$A$7</c:f>
              <c:strCache>
                <c:ptCount val="6"/>
                <c:pt idx="0">
                  <c:v>Familiar</c:v>
                </c:pt>
                <c:pt idx="1">
                  <c:v>Docente</c:v>
                </c:pt>
                <c:pt idx="2">
                  <c:v>Laboral</c:v>
                </c:pt>
                <c:pt idx="3">
                  <c:v>Comunitaria</c:v>
                </c:pt>
                <c:pt idx="4">
                  <c:v>Institucional</c:v>
                </c:pt>
                <c:pt idx="5">
                  <c:v>Otra </c:v>
                </c:pt>
              </c:strCache>
            </c:strRef>
          </c:cat>
          <c:val>
            <c:numRef>
              <c:f>Hoja1!$B$2:$B$7</c:f>
              <c:numCache>
                <c:formatCode>General</c:formatCode>
                <c:ptCount val="6"/>
                <c:pt idx="0">
                  <c:v>4</c:v>
                </c:pt>
                <c:pt idx="1">
                  <c:v>0</c:v>
                </c:pt>
                <c:pt idx="2">
                  <c:v>0</c:v>
                </c:pt>
                <c:pt idx="3">
                  <c:v>1</c:v>
                </c:pt>
                <c:pt idx="4">
                  <c:v>0</c:v>
                </c:pt>
                <c:pt idx="5">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Hoja1!$A$2:$A$7</c:f>
              <c:strCache>
                <c:ptCount val="6"/>
                <c:pt idx="0">
                  <c:v>Familiar</c:v>
                </c:pt>
                <c:pt idx="1">
                  <c:v>Docente</c:v>
                </c:pt>
                <c:pt idx="2">
                  <c:v>Laboral</c:v>
                </c:pt>
                <c:pt idx="3">
                  <c:v>Comunitaria</c:v>
                </c:pt>
                <c:pt idx="4">
                  <c:v>Institucional</c:v>
                </c:pt>
                <c:pt idx="5">
                  <c:v>Otra </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box"/>
        <c:axId val="201582080"/>
        <c:axId val="201583616"/>
        <c:axId val="0"/>
      </c:bar3DChart>
      <c:catAx>
        <c:axId val="20158208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01583616"/>
        <c:crosses val="autoZero"/>
        <c:auto val="1"/>
        <c:lblAlgn val="ctr"/>
        <c:lblOffset val="100"/>
        <c:noMultiLvlLbl val="0"/>
      </c:catAx>
      <c:valAx>
        <c:axId val="20158361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0158208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4"/>
    </mc:Choice>
    <mc:Fallback>
      <c:style val="24"/>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Hoja1!$B$2:$B$6</c:f>
              <c:numCache>
                <c:formatCode>General</c:formatCode>
                <c:ptCount val="5"/>
                <c:pt idx="0">
                  <c:v>9</c:v>
                </c:pt>
                <c:pt idx="1">
                  <c:v>3</c:v>
                </c:pt>
                <c:pt idx="2">
                  <c:v>2</c:v>
                </c:pt>
                <c:pt idx="3">
                  <c:v>1</c:v>
                </c:pt>
                <c:pt idx="4">
                  <c:v>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Hoja1!$C$2:$C$6</c:f>
              <c:numCache>
                <c:formatCode>General</c:formatCode>
                <c:ptCount val="5"/>
                <c:pt idx="0">
                  <c:v>6</c:v>
                </c:pt>
                <c:pt idx="1">
                  <c:v>2</c:v>
                </c:pt>
                <c:pt idx="2">
                  <c:v>0</c:v>
                </c:pt>
                <c:pt idx="3">
                  <c:v>0</c:v>
                </c:pt>
                <c:pt idx="4">
                  <c:v>1</c:v>
                </c:pt>
              </c:numCache>
            </c:numRef>
          </c:val>
        </c:ser>
        <c:dLbls>
          <c:showLegendKey val="0"/>
          <c:showVal val="0"/>
          <c:showCatName val="0"/>
          <c:showSerName val="0"/>
          <c:showPercent val="0"/>
          <c:showBubbleSize val="0"/>
        </c:dLbls>
        <c:gapWidth val="150"/>
        <c:shape val="box"/>
        <c:axId val="202930432"/>
        <c:axId val="203051392"/>
        <c:axId val="0"/>
      </c:bar3DChart>
      <c:catAx>
        <c:axId val="202930432"/>
        <c:scaling>
          <c:orientation val="minMax"/>
        </c:scaling>
        <c:delete val="0"/>
        <c:axPos val="b"/>
        <c:numFmt formatCode="General" sourceLinked="1"/>
        <c:majorTickMark val="none"/>
        <c:minorTickMark val="none"/>
        <c:tickLblPos val="nextTo"/>
        <c:crossAx val="203051392"/>
        <c:crosses val="autoZero"/>
        <c:auto val="1"/>
        <c:lblAlgn val="ctr"/>
        <c:lblOffset val="100"/>
        <c:noMultiLvlLbl val="0"/>
      </c:catAx>
      <c:valAx>
        <c:axId val="203051392"/>
        <c:scaling>
          <c:orientation val="minMax"/>
        </c:scaling>
        <c:delete val="0"/>
        <c:axPos val="l"/>
        <c:majorGridlines/>
        <c:numFmt formatCode="General" sourceLinked="1"/>
        <c:majorTickMark val="none"/>
        <c:minorTickMark val="none"/>
        <c:tickLblPos val="nextTo"/>
        <c:crossAx val="20293043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en-US"/>
              <a:t>ASISTENTES</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6</c:v>
                </c:pt>
                <c:pt idx="1">
                  <c:v>1</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204336128"/>
        <c:axId val="204627968"/>
        <c:axId val="0"/>
      </c:bar3DChart>
      <c:catAx>
        <c:axId val="204336128"/>
        <c:scaling>
          <c:orientation val="minMax"/>
        </c:scaling>
        <c:delete val="0"/>
        <c:axPos val="b"/>
        <c:numFmt formatCode="General" sourceLinked="1"/>
        <c:majorTickMark val="out"/>
        <c:minorTickMark val="none"/>
        <c:tickLblPos val="nextTo"/>
        <c:crossAx val="204627968"/>
        <c:crosses val="autoZero"/>
        <c:auto val="1"/>
        <c:lblAlgn val="ctr"/>
        <c:lblOffset val="100"/>
        <c:noMultiLvlLbl val="0"/>
      </c:catAx>
      <c:valAx>
        <c:axId val="204627968"/>
        <c:scaling>
          <c:orientation val="minMax"/>
        </c:scaling>
        <c:delete val="0"/>
        <c:axPos val="l"/>
        <c:majorGridlines/>
        <c:numFmt formatCode="General" sourceLinked="1"/>
        <c:majorTickMark val="out"/>
        <c:minorTickMark val="none"/>
        <c:tickLblPos val="nextTo"/>
        <c:crossAx val="20433612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4"/>
    </mc:Choice>
    <mc:Fallback>
      <c:style val="24"/>
    </mc:Fallback>
  </mc:AlternateContent>
  <c:chart>
    <c:title>
      <c:tx>
        <c:rich>
          <a:bodyPr/>
          <a:lstStyle/>
          <a:p>
            <a:pPr>
              <a:defRPr/>
            </a:pPr>
            <a:r>
              <a:rPr lang="es-MX"/>
              <a:t>RANGO DE EDAD</a:t>
            </a:r>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Hoja1!$B$2:$B$6</c:f>
              <c:numCache>
                <c:formatCode>General</c:formatCode>
                <c:ptCount val="5"/>
                <c:pt idx="0">
                  <c:v>0</c:v>
                </c:pt>
                <c:pt idx="1">
                  <c:v>3</c:v>
                </c:pt>
                <c:pt idx="2">
                  <c:v>2</c:v>
                </c:pt>
                <c:pt idx="3">
                  <c:v>1</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1</c:v>
                </c:pt>
              </c:numCache>
            </c:numRef>
          </c:val>
        </c:ser>
        <c:dLbls>
          <c:showLegendKey val="0"/>
          <c:showVal val="0"/>
          <c:showCatName val="0"/>
          <c:showSerName val="0"/>
          <c:showPercent val="0"/>
          <c:showBubbleSize val="0"/>
        </c:dLbls>
        <c:gapWidth val="150"/>
        <c:shape val="box"/>
        <c:axId val="290063872"/>
        <c:axId val="290065408"/>
        <c:axId val="0"/>
      </c:bar3DChart>
      <c:catAx>
        <c:axId val="290063872"/>
        <c:scaling>
          <c:orientation val="minMax"/>
        </c:scaling>
        <c:delete val="0"/>
        <c:axPos val="b"/>
        <c:numFmt formatCode="General" sourceLinked="1"/>
        <c:majorTickMark val="none"/>
        <c:minorTickMark val="none"/>
        <c:tickLblPos val="nextTo"/>
        <c:crossAx val="290065408"/>
        <c:crosses val="autoZero"/>
        <c:auto val="1"/>
        <c:lblAlgn val="ctr"/>
        <c:lblOffset val="100"/>
        <c:noMultiLvlLbl val="0"/>
      </c:catAx>
      <c:valAx>
        <c:axId val="290065408"/>
        <c:scaling>
          <c:orientation val="minMax"/>
        </c:scaling>
        <c:delete val="0"/>
        <c:axPos val="l"/>
        <c:majorGridlines/>
        <c:numFmt formatCode="General" sourceLinked="1"/>
        <c:majorTickMark val="none"/>
        <c:minorTickMark val="none"/>
        <c:tickLblPos val="nextTo"/>
        <c:crossAx val="29006387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ASISTENTES</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Asistentes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Hoja1!$A$2:$A$3</c:f>
              <c:strCache>
                <c:ptCount val="2"/>
                <c:pt idx="0">
                  <c:v>Mujeres</c:v>
                </c:pt>
                <c:pt idx="1">
                  <c:v>Hombres</c:v>
                </c:pt>
              </c:strCache>
            </c:strRef>
          </c:cat>
          <c:val>
            <c:numRef>
              <c:f>Hoja1!$B$2:$B$3</c:f>
              <c:numCache>
                <c:formatCode>General</c:formatCode>
                <c:ptCount val="2"/>
                <c:pt idx="0">
                  <c:v>9</c:v>
                </c:pt>
                <c:pt idx="1">
                  <c:v>8</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290421376"/>
        <c:axId val="290539008"/>
        <c:axId val="0"/>
      </c:bar3DChart>
      <c:catAx>
        <c:axId val="290421376"/>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90539008"/>
        <c:crosses val="autoZero"/>
        <c:auto val="1"/>
        <c:lblAlgn val="ctr"/>
        <c:lblOffset val="100"/>
        <c:noMultiLvlLbl val="0"/>
      </c:catAx>
      <c:valAx>
        <c:axId val="290539008"/>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904213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a:t>
            </a:r>
            <a:r>
              <a:rPr lang="es-MX" baseline="0"/>
              <a:t> DE EDAD</a:t>
            </a:r>
            <a:endParaRPr lang="es-MX"/>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6"/>
            </a:solidFill>
            <a:ln>
              <a:noFill/>
            </a:ln>
            <a:effectLst>
              <a:outerShdw blurRad="40000" dist="23000" dir="5400000" rotWithShape="0">
                <a:srgbClr val="000000">
                  <a:alpha val="35000"/>
                </a:srgbClr>
              </a:outerShdw>
            </a:effectLst>
            <a:sp3d/>
          </c:spPr>
          <c:invertIfNegative val="0"/>
          <c:cat>
            <c:strRef>
              <c:f>Hoja1!$A$2:$A$6</c:f>
              <c:strCache>
                <c:ptCount val="5"/>
                <c:pt idx="0">
                  <c:v>Menos de 15 años</c:v>
                </c:pt>
                <c:pt idx="1">
                  <c:v>15 a 29 años </c:v>
                </c:pt>
                <c:pt idx="2">
                  <c:v>30 a 44 años </c:v>
                </c:pt>
                <c:pt idx="3">
                  <c:v>45 a 59 años</c:v>
                </c:pt>
                <c:pt idx="4">
                  <c:v>60 y más</c:v>
                </c:pt>
              </c:strCache>
            </c:strRef>
          </c:cat>
          <c:val>
            <c:numRef>
              <c:f>Hoja1!$B$2:$B$6</c:f>
              <c:numCache>
                <c:formatCode>General</c:formatCode>
                <c:ptCount val="5"/>
                <c:pt idx="0">
                  <c:v>9</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spPr>
            <a:solidFill>
              <a:schemeClr val="accent5"/>
            </a:solidFill>
            <a:ln>
              <a:noFill/>
            </a:ln>
            <a:effectLst>
              <a:outerShdw blurRad="40000" dist="23000" dir="5400000" rotWithShape="0">
                <a:srgbClr val="000000">
                  <a:alpha val="35000"/>
                </a:srgbClr>
              </a:outerShdw>
            </a:effectLst>
            <a:sp3d/>
          </c:spPr>
          <c:invertIfNegative val="0"/>
          <c:cat>
            <c:strRef>
              <c:f>Hoja1!$A$2:$A$6</c:f>
              <c:strCache>
                <c:ptCount val="5"/>
                <c:pt idx="0">
                  <c:v>Menos de 15 años</c:v>
                </c:pt>
                <c:pt idx="1">
                  <c:v>15 a 29 años </c:v>
                </c:pt>
                <c:pt idx="2">
                  <c:v>30 a 44 años </c:v>
                </c:pt>
                <c:pt idx="3">
                  <c:v>45 a 59 años</c:v>
                </c:pt>
                <c:pt idx="4">
                  <c:v>60 y más</c:v>
                </c:pt>
              </c:strCache>
            </c:strRef>
          </c:cat>
          <c:val>
            <c:numRef>
              <c:f>Hoja1!$C$2:$C$6</c:f>
              <c:numCache>
                <c:formatCode>General</c:formatCode>
                <c:ptCount val="5"/>
                <c:pt idx="0">
                  <c:v>6</c:v>
                </c:pt>
                <c:pt idx="1">
                  <c:v>2</c:v>
                </c:pt>
                <c:pt idx="2">
                  <c:v>0</c:v>
                </c:pt>
                <c:pt idx="3">
                  <c:v>0</c:v>
                </c:pt>
                <c:pt idx="4">
                  <c:v>0</c:v>
                </c:pt>
              </c:numCache>
            </c:numRef>
          </c:val>
        </c:ser>
        <c:dLbls>
          <c:showLegendKey val="0"/>
          <c:showVal val="0"/>
          <c:showCatName val="0"/>
          <c:showSerName val="0"/>
          <c:showPercent val="0"/>
          <c:showBubbleSize val="0"/>
        </c:dLbls>
        <c:gapWidth val="150"/>
        <c:shape val="box"/>
        <c:axId val="291627776"/>
        <c:axId val="291629312"/>
        <c:axId val="0"/>
      </c:bar3DChart>
      <c:catAx>
        <c:axId val="291627776"/>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91629312"/>
        <c:crosses val="autoZero"/>
        <c:auto val="1"/>
        <c:lblAlgn val="ctr"/>
        <c:lblOffset val="100"/>
        <c:noMultiLvlLbl val="0"/>
      </c:catAx>
      <c:valAx>
        <c:axId val="291629312"/>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91627776"/>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SEXO</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5</c:v>
                </c:pt>
                <c:pt idx="1">
                  <c:v>0</c:v>
                </c:pt>
              </c:numCache>
            </c:numRef>
          </c:val>
        </c:ser>
        <c:dLbls>
          <c:showLegendKey val="0"/>
          <c:showVal val="0"/>
          <c:showCatName val="0"/>
          <c:showSerName val="0"/>
          <c:showPercent val="0"/>
          <c:showBubbleSize val="0"/>
        </c:dLbls>
        <c:gapWidth val="150"/>
        <c:shape val="box"/>
        <c:axId val="323387776"/>
        <c:axId val="323390464"/>
        <c:axId val="0"/>
      </c:bar3DChart>
      <c:catAx>
        <c:axId val="323387776"/>
        <c:scaling>
          <c:orientation val="minMax"/>
        </c:scaling>
        <c:delete val="0"/>
        <c:axPos val="b"/>
        <c:numFmt formatCode="General" sourceLinked="1"/>
        <c:majorTickMark val="out"/>
        <c:minorTickMark val="none"/>
        <c:tickLblPos val="nextTo"/>
        <c:crossAx val="323390464"/>
        <c:crosses val="autoZero"/>
        <c:auto val="1"/>
        <c:lblAlgn val="ctr"/>
        <c:lblOffset val="100"/>
        <c:noMultiLvlLbl val="0"/>
      </c:catAx>
      <c:valAx>
        <c:axId val="323390464"/>
        <c:scaling>
          <c:orientation val="minMax"/>
        </c:scaling>
        <c:delete val="0"/>
        <c:axPos val="l"/>
        <c:majorGridlines/>
        <c:numFmt formatCode="General" sourceLinked="1"/>
        <c:majorTickMark val="out"/>
        <c:minorTickMark val="none"/>
        <c:tickLblPos val="nextTo"/>
        <c:crossAx val="323387776"/>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ASESORÍAS</a:t>
            </a:r>
          </a:p>
        </c:rich>
      </c:tx>
      <c:overlay val="0"/>
    </c:title>
    <c:autoTitleDeleted val="0"/>
    <c:plotArea>
      <c:layout/>
      <c:barChart>
        <c:barDir val="col"/>
        <c:grouping val="stack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3</c:v>
                </c:pt>
                <c:pt idx="1">
                  <c:v>5</c:v>
                </c:pt>
                <c:pt idx="2">
                  <c:v>0</c:v>
                </c:pt>
              </c:numCache>
            </c:numRef>
          </c:val>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ser>
        <c:dLbls>
          <c:showLegendKey val="0"/>
          <c:showVal val="0"/>
          <c:showCatName val="0"/>
          <c:showSerName val="0"/>
          <c:showPercent val="0"/>
          <c:showBubbleSize val="0"/>
        </c:dLbls>
        <c:gapWidth val="95"/>
        <c:overlap val="100"/>
        <c:axId val="51250688"/>
        <c:axId val="51252224"/>
      </c:barChart>
      <c:catAx>
        <c:axId val="51250688"/>
        <c:scaling>
          <c:orientation val="minMax"/>
        </c:scaling>
        <c:delete val="0"/>
        <c:axPos val="b"/>
        <c:numFmt formatCode="General" sourceLinked="0"/>
        <c:majorTickMark val="none"/>
        <c:minorTickMark val="none"/>
        <c:tickLblPos val="nextTo"/>
        <c:crossAx val="51252224"/>
        <c:crosses val="autoZero"/>
        <c:auto val="1"/>
        <c:lblAlgn val="ctr"/>
        <c:lblOffset val="100"/>
        <c:noMultiLvlLbl val="0"/>
      </c:catAx>
      <c:valAx>
        <c:axId val="51252224"/>
        <c:scaling>
          <c:orientation val="minMax"/>
        </c:scaling>
        <c:delete val="0"/>
        <c:axPos val="l"/>
        <c:majorGridlines/>
        <c:numFmt formatCode="General" sourceLinked="1"/>
        <c:majorTickMark val="none"/>
        <c:minorTickMark val="none"/>
        <c:tickLblPos val="nextTo"/>
        <c:crossAx val="51250688"/>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ACTVIDAD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Hogar</c:v>
                </c:pt>
                <c:pt idx="1">
                  <c:v>Empleada/o</c:v>
                </c:pt>
                <c:pt idx="2">
                  <c:v>Comerciante</c:v>
                </c:pt>
                <c:pt idx="3">
                  <c:v>Estudiante</c:v>
                </c:pt>
                <c:pt idx="4">
                  <c:v>Desempleada/o</c:v>
                </c:pt>
              </c:strCache>
            </c:strRef>
          </c:cat>
          <c:val>
            <c:numRef>
              <c:f>Hoja1!$B$2:$B$6</c:f>
              <c:numCache>
                <c:formatCode>General</c:formatCode>
                <c:ptCount val="5"/>
                <c:pt idx="0">
                  <c:v>1</c:v>
                </c:pt>
                <c:pt idx="1">
                  <c:v>2</c:v>
                </c:pt>
                <c:pt idx="2">
                  <c:v>1</c:v>
                </c:pt>
                <c:pt idx="3">
                  <c:v>1</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Hogar</c:v>
                </c:pt>
                <c:pt idx="1">
                  <c:v>Empleada/o</c:v>
                </c:pt>
                <c:pt idx="2">
                  <c:v>Comerciante</c:v>
                </c:pt>
                <c:pt idx="3">
                  <c:v>Estudiante</c:v>
                </c:pt>
                <c:pt idx="4">
                  <c:v>Desempleada/o</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51275264"/>
        <c:axId val="51276800"/>
        <c:axId val="0"/>
      </c:bar3DChart>
      <c:catAx>
        <c:axId val="51275264"/>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51276800"/>
        <c:crosses val="autoZero"/>
        <c:auto val="1"/>
        <c:lblAlgn val="ctr"/>
        <c:lblOffset val="100"/>
        <c:noMultiLvlLbl val="0"/>
      </c:catAx>
      <c:valAx>
        <c:axId val="51276800"/>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51275264"/>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withinLinear" id="18">
  <a:schemeClr val="accent5"/>
</cs:colorStyle>
</file>

<file path=word/charts/colors6.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mods="ignoreCSTransforms">
      <cs:styleClr val="0">
        <a:shade val="25000"/>
      </cs:styl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mods="ignoreCSTransforms">
      <cs:styleClr val="0">
        <a:tint val="25000"/>
      </cs:styl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14</Pages>
  <Words>1491</Words>
  <Characters>8201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IJM1</dc:creator>
  <cp:lastModifiedBy>Maria Elena</cp:lastModifiedBy>
  <cp:revision>22</cp:revision>
  <dcterms:created xsi:type="dcterms:W3CDTF">2018-12-21T13:10:00Z</dcterms:created>
  <dcterms:modified xsi:type="dcterms:W3CDTF">2019-01-29T15:31:00Z</dcterms:modified>
</cp:coreProperties>
</file>